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E3FE4">
        <w:rPr>
          <w:sz w:val="28"/>
          <w:szCs w:val="28"/>
          <w:u w:val="single"/>
        </w:rPr>
        <w:t>23.12.2021г.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E3FE4">
        <w:rPr>
          <w:sz w:val="28"/>
          <w:szCs w:val="28"/>
        </w:rPr>
        <w:t xml:space="preserve"> 581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5323"/>
      </w:tblGrid>
      <w:tr w:rsidR="00D529C9" w:rsidRPr="00D529C9" w:rsidTr="00D529C9">
        <w:tc>
          <w:tcPr>
            <w:tcW w:w="4928" w:type="dxa"/>
            <w:hideMark/>
          </w:tcPr>
          <w:p w:rsidR="00D529C9" w:rsidRPr="00D529C9" w:rsidRDefault="00D529C9" w:rsidP="00D529C9">
            <w:pPr>
              <w:jc w:val="both"/>
              <w:rPr>
                <w:b/>
                <w:sz w:val="28"/>
              </w:rPr>
            </w:pPr>
            <w:r w:rsidRPr="00D529C9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D529C9">
              <w:rPr>
                <w:sz w:val="28"/>
                <w:szCs w:val="28"/>
              </w:rPr>
              <w:t xml:space="preserve">муниципальную программу </w:t>
            </w:r>
            <w:r>
              <w:rPr>
                <w:sz w:val="28"/>
                <w:szCs w:val="28"/>
              </w:rPr>
              <w:t xml:space="preserve">                    </w:t>
            </w:r>
            <w:r w:rsidRPr="00D529C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«Энергосбережение и повышение энергетической эффективности» на территории муниципального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       </w:t>
            </w:r>
            <w:r w:rsidRPr="00D529C9">
              <w:rPr>
                <w:rFonts w:eastAsia="Calibri"/>
                <w:bCs/>
                <w:sz w:val="28"/>
                <w:szCs w:val="28"/>
                <w:lang w:eastAsia="en-US"/>
              </w:rPr>
              <w:t>образования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t xml:space="preserve"> «Шумячский район»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t>Смоленской области на 2018-2021 годы»</w:t>
            </w:r>
          </w:p>
        </w:tc>
        <w:tc>
          <w:tcPr>
            <w:tcW w:w="5386" w:type="dxa"/>
          </w:tcPr>
          <w:p w:rsidR="00D529C9" w:rsidRPr="00D529C9" w:rsidRDefault="00D529C9" w:rsidP="00D529C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D529C9" w:rsidRPr="00D529C9" w:rsidRDefault="00D529C9" w:rsidP="00D529C9">
      <w:pPr>
        <w:spacing w:line="360" w:lineRule="auto"/>
        <w:rPr>
          <w:sz w:val="28"/>
          <w:szCs w:val="28"/>
        </w:rPr>
      </w:pPr>
    </w:p>
    <w:p w:rsidR="00D529C9" w:rsidRPr="00D529C9" w:rsidRDefault="00D529C9" w:rsidP="00D529C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D529C9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</w:t>
      </w:r>
      <w:r w:rsidRPr="00D529C9">
        <w:rPr>
          <w:sz w:val="28"/>
          <w:szCs w:val="28"/>
        </w:rPr>
        <w:t>Смоленской области</w:t>
      </w:r>
    </w:p>
    <w:p w:rsidR="00D529C9" w:rsidRPr="00D529C9" w:rsidRDefault="00D529C9" w:rsidP="00D529C9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D529C9" w:rsidRPr="00D529C9" w:rsidRDefault="00D529C9" w:rsidP="00D529C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D529C9">
        <w:rPr>
          <w:sz w:val="28"/>
          <w:szCs w:val="28"/>
        </w:rPr>
        <w:t>П О С Т А Н О В Л Я Е Т:</w:t>
      </w:r>
    </w:p>
    <w:p w:rsidR="00D529C9" w:rsidRPr="00D529C9" w:rsidRDefault="00D529C9" w:rsidP="00D529C9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D529C9" w:rsidRPr="00D529C9" w:rsidRDefault="00D529C9" w:rsidP="00D529C9">
      <w:pPr>
        <w:widowControl w:val="0"/>
        <w:snapToGrid w:val="0"/>
        <w:ind w:firstLine="709"/>
        <w:jc w:val="both"/>
        <w:rPr>
          <w:sz w:val="28"/>
        </w:rPr>
      </w:pPr>
      <w:r w:rsidRPr="00D529C9">
        <w:rPr>
          <w:sz w:val="28"/>
          <w:szCs w:val="28"/>
        </w:rPr>
        <w:t>Внести в муниципальную программу «</w:t>
      </w:r>
      <w:r w:rsidRPr="00D529C9">
        <w:rPr>
          <w:rFonts w:eastAsia="Calibri"/>
          <w:bCs/>
          <w:sz w:val="28"/>
          <w:szCs w:val="28"/>
          <w:lang w:eastAsia="en-US"/>
        </w:rPr>
        <w:t xml:space="preserve">«Энергосбережение и повышение </w:t>
      </w:r>
      <w:r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Pr="00D529C9">
        <w:rPr>
          <w:rFonts w:eastAsia="Calibri"/>
          <w:bCs/>
          <w:sz w:val="28"/>
          <w:szCs w:val="28"/>
          <w:lang w:eastAsia="en-US"/>
        </w:rPr>
        <w:t>энергетической эффективности» на территории муниципального образования</w:t>
      </w:r>
      <w:r w:rsidRPr="00D529C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D529C9">
        <w:rPr>
          <w:rFonts w:eastAsia="Calibri"/>
          <w:sz w:val="28"/>
          <w:szCs w:val="28"/>
          <w:lang w:eastAsia="en-US"/>
        </w:rPr>
        <w:t>«Шумячский район» Смоленской области на 2018-2021 годы</w:t>
      </w:r>
      <w:r w:rsidRPr="00D529C9">
        <w:rPr>
          <w:spacing w:val="-1"/>
          <w:sz w:val="28"/>
          <w:szCs w:val="28"/>
        </w:rPr>
        <w:t>»</w:t>
      </w:r>
      <w:r w:rsidRPr="00D529C9">
        <w:rPr>
          <w:sz w:val="28"/>
        </w:rPr>
        <w:t xml:space="preserve">, утверждённую </w:t>
      </w:r>
      <w:r>
        <w:rPr>
          <w:sz w:val="28"/>
        </w:rPr>
        <w:t xml:space="preserve">                   </w:t>
      </w:r>
      <w:r w:rsidRPr="00D529C9">
        <w:rPr>
          <w:sz w:val="28"/>
        </w:rPr>
        <w:t xml:space="preserve">постановлением Администрации муниципального образования «Шумячский район» Смоленской области от 14.11.2017 №712 (далее – муниципальная программа) </w:t>
      </w:r>
      <w:r>
        <w:rPr>
          <w:sz w:val="28"/>
        </w:rPr>
        <w:t xml:space="preserve">                  </w:t>
      </w:r>
      <w:r w:rsidRPr="00D529C9">
        <w:rPr>
          <w:sz w:val="28"/>
        </w:rPr>
        <w:t>следующие изменения:</w:t>
      </w:r>
    </w:p>
    <w:p w:rsidR="00D529C9" w:rsidRPr="00D529C9" w:rsidRDefault="00D529C9" w:rsidP="00D529C9">
      <w:pPr>
        <w:widowControl w:val="0"/>
        <w:tabs>
          <w:tab w:val="left" w:pos="709"/>
        </w:tabs>
        <w:snapToGrid w:val="0"/>
        <w:spacing w:after="160"/>
        <w:jc w:val="both"/>
        <w:rPr>
          <w:sz w:val="28"/>
          <w:szCs w:val="28"/>
        </w:rPr>
      </w:pPr>
      <w:r>
        <w:rPr>
          <w:sz w:val="28"/>
        </w:rPr>
        <w:tab/>
        <w:t>1.</w:t>
      </w:r>
      <w:r w:rsidRPr="00D529C9">
        <w:rPr>
          <w:sz w:val="28"/>
        </w:rPr>
        <w:t xml:space="preserve">В паспорте муниципальной программы </w:t>
      </w:r>
      <w:r w:rsidRPr="00D529C9">
        <w:rPr>
          <w:sz w:val="28"/>
          <w:szCs w:val="28"/>
        </w:rPr>
        <w:t>позицию «</w:t>
      </w:r>
      <w:r w:rsidRPr="00D529C9">
        <w:rPr>
          <w:rFonts w:eastAsia="Calibri"/>
          <w:sz w:val="28"/>
          <w:szCs w:val="28"/>
          <w:lang w:eastAsia="en-US"/>
        </w:rPr>
        <w:t>Сроки (этапы)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29C9">
        <w:rPr>
          <w:rFonts w:eastAsia="Calibri"/>
          <w:sz w:val="28"/>
          <w:szCs w:val="28"/>
          <w:lang w:eastAsia="en-US"/>
        </w:rPr>
        <w:t xml:space="preserve">реализации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D529C9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D529C9">
        <w:rPr>
          <w:sz w:val="28"/>
          <w:szCs w:val="28"/>
        </w:rPr>
        <w:t>» изложить в следующей редакции: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7"/>
        <w:gridCol w:w="6069"/>
      </w:tblGrid>
      <w:tr w:rsidR="00D529C9" w:rsidRPr="00D529C9" w:rsidTr="00D529C9"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z w:val="28"/>
                <w:szCs w:val="28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lang w:eastAsia="ar-SA"/>
              </w:rPr>
              <w:t>Сроки (этапы) реализации Муниципальной  программы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z w:val="28"/>
                <w:szCs w:val="28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lang w:eastAsia="ar-SA"/>
              </w:rPr>
              <w:t>2018 – 2022 гг.</w:t>
            </w:r>
          </w:p>
        </w:tc>
      </w:tr>
    </w:tbl>
    <w:p w:rsidR="00D529C9" w:rsidRPr="00D529C9" w:rsidRDefault="00D529C9" w:rsidP="00D529C9">
      <w:pPr>
        <w:widowControl w:val="0"/>
        <w:snapToGrid w:val="0"/>
        <w:ind w:firstLine="709"/>
        <w:jc w:val="both"/>
        <w:rPr>
          <w:sz w:val="16"/>
          <w:szCs w:val="16"/>
        </w:rPr>
      </w:pPr>
    </w:p>
    <w:p w:rsidR="00D529C9" w:rsidRPr="00D529C9" w:rsidRDefault="00D529C9" w:rsidP="00D529C9">
      <w:pPr>
        <w:widowControl w:val="0"/>
        <w:tabs>
          <w:tab w:val="left" w:pos="709"/>
        </w:tabs>
        <w:snapToGrid w:val="0"/>
        <w:spacing w:after="160"/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 w:rsidRPr="00D529C9">
        <w:rPr>
          <w:sz w:val="28"/>
        </w:rPr>
        <w:t xml:space="preserve">В </w:t>
      </w:r>
      <w:r>
        <w:rPr>
          <w:sz w:val="28"/>
        </w:rPr>
        <w:t>п</w:t>
      </w:r>
      <w:r w:rsidRPr="00D529C9">
        <w:rPr>
          <w:sz w:val="28"/>
        </w:rPr>
        <w:t xml:space="preserve">аспорте муниципальной программы </w:t>
      </w:r>
      <w:r w:rsidRPr="00D529C9">
        <w:rPr>
          <w:sz w:val="28"/>
          <w:szCs w:val="28"/>
        </w:rPr>
        <w:t>позицию «</w:t>
      </w:r>
      <w:r w:rsidRPr="00D529C9">
        <w:rPr>
          <w:rFonts w:eastAsia="Calibri"/>
          <w:sz w:val="28"/>
          <w:szCs w:val="28"/>
          <w:lang w:eastAsia="en-US"/>
        </w:rPr>
        <w:t xml:space="preserve">Источники и объемы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D529C9">
        <w:rPr>
          <w:rFonts w:eastAsia="Calibri"/>
          <w:sz w:val="28"/>
          <w:szCs w:val="28"/>
          <w:lang w:eastAsia="en-US"/>
        </w:rPr>
        <w:t xml:space="preserve">финансового обеспечения реализации Муниципальной программы (по годам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D529C9">
        <w:rPr>
          <w:rFonts w:eastAsia="Calibri"/>
          <w:sz w:val="28"/>
          <w:szCs w:val="28"/>
          <w:lang w:eastAsia="en-US"/>
        </w:rPr>
        <w:t>реализации и в разрезе источников финансирования)</w:t>
      </w:r>
      <w:r w:rsidRPr="00D529C9">
        <w:rPr>
          <w:sz w:val="28"/>
          <w:szCs w:val="28"/>
        </w:rPr>
        <w:t xml:space="preserve">» изложить в следующей </w:t>
      </w:r>
      <w:r>
        <w:rPr>
          <w:sz w:val="28"/>
          <w:szCs w:val="28"/>
        </w:rPr>
        <w:t xml:space="preserve">              </w:t>
      </w:r>
      <w:r w:rsidRPr="00D529C9">
        <w:rPr>
          <w:sz w:val="28"/>
          <w:szCs w:val="28"/>
        </w:rPr>
        <w:t>редакции:</w:t>
      </w:r>
    </w:p>
    <w:tbl>
      <w:tblPr>
        <w:tblW w:w="10249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945"/>
      </w:tblGrid>
      <w:tr w:rsidR="00D529C9" w:rsidRPr="00D529C9" w:rsidTr="00D529C9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9" w:rsidRPr="00D529C9" w:rsidRDefault="00D529C9" w:rsidP="00D529C9">
            <w:pPr>
              <w:jc w:val="both"/>
              <w:rPr>
                <w:sz w:val="28"/>
                <w:szCs w:val="28"/>
              </w:rPr>
            </w:pPr>
            <w:r w:rsidRPr="00D529C9">
              <w:rPr>
                <w:rFonts w:eastAsia="Calibri"/>
                <w:sz w:val="28"/>
                <w:szCs w:val="28"/>
                <w:lang w:eastAsia="en-US"/>
              </w:rPr>
              <w:t xml:space="preserve">Источники и объемы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финансового обеспечения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t xml:space="preserve">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программы  (по годам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t xml:space="preserve">реализации и в разрезе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t xml:space="preserve">источников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D529C9">
              <w:rPr>
                <w:rFonts w:eastAsia="Calibri"/>
                <w:sz w:val="28"/>
                <w:szCs w:val="28"/>
                <w:lang w:eastAsia="en-US"/>
              </w:rPr>
              <w:t>финансирования)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C9" w:rsidRPr="00D529C9" w:rsidRDefault="00D529C9" w:rsidP="00D529C9">
            <w:pPr>
              <w:suppressAutoHyphens/>
              <w:spacing w:line="25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lastRenderedPageBreak/>
              <w:t>о</w:t>
            </w: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бщий объем финансирования Муниципальной программы составляет 900 тыс. рублей, из них:</w:t>
            </w:r>
          </w:p>
          <w:p w:rsidR="00D529C9" w:rsidRPr="00D529C9" w:rsidRDefault="00D529C9" w:rsidP="00D529C9">
            <w:pPr>
              <w:suppressAutoHyphens/>
              <w:spacing w:line="256" w:lineRule="auto"/>
              <w:jc w:val="both"/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lastRenderedPageBreak/>
              <w:t>- средства областного бюджета - 0 тыс. 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местного бюджета – 900</w:t>
            </w: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внебюджетных источников (иные) –  0 тыс. рублей</w:t>
            </w:r>
          </w:p>
          <w:p w:rsidR="00D529C9" w:rsidRPr="00D529C9" w:rsidRDefault="00D529C9" w:rsidP="00D529C9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D529C9" w:rsidRPr="00D529C9" w:rsidRDefault="00D529C9" w:rsidP="00D529C9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>2018 год – 0 тыс. руб.</w:t>
            </w:r>
          </w:p>
          <w:p w:rsidR="00D529C9" w:rsidRPr="00D529C9" w:rsidRDefault="00D529C9" w:rsidP="00D529C9">
            <w:pPr>
              <w:suppressAutoHyphens/>
              <w:spacing w:line="256" w:lineRule="auto"/>
              <w:jc w:val="both"/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- средства областного бюджета - 0 тыс. 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местного бюджета – 0</w:t>
            </w: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внебюджетных источников (иные) –  0 тыс. рублей;</w:t>
            </w:r>
          </w:p>
          <w:p w:rsidR="00D529C9" w:rsidRPr="00D529C9" w:rsidRDefault="00D529C9" w:rsidP="00D529C9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>2019 год – 0 тыс. руб.</w:t>
            </w:r>
          </w:p>
          <w:p w:rsidR="00D529C9" w:rsidRPr="00D529C9" w:rsidRDefault="00D529C9" w:rsidP="00D529C9">
            <w:pPr>
              <w:suppressAutoHyphens/>
              <w:spacing w:line="256" w:lineRule="auto"/>
              <w:jc w:val="both"/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- средства областного бюджета - 0 тыс. 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местного бюджета – 0</w:t>
            </w: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внебюджетных источников (иные) –  0 тыс. рублей</w:t>
            </w:r>
          </w:p>
          <w:p w:rsidR="00D529C9" w:rsidRPr="00D529C9" w:rsidRDefault="00D529C9" w:rsidP="00D529C9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>2020 год – 0 тыс. руб.</w:t>
            </w:r>
          </w:p>
          <w:p w:rsidR="00D529C9" w:rsidRPr="00D529C9" w:rsidRDefault="00D529C9" w:rsidP="00D529C9">
            <w:pPr>
              <w:suppressAutoHyphens/>
              <w:spacing w:line="256" w:lineRule="auto"/>
              <w:jc w:val="both"/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- средства областного бюджета - 0 тыс. 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местного бюджета – 0</w:t>
            </w: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внебюджетных источников (иные) –  0 тыс. рублей</w:t>
            </w:r>
          </w:p>
          <w:p w:rsidR="00D529C9" w:rsidRPr="00D529C9" w:rsidRDefault="00D529C9" w:rsidP="00D529C9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>2021 год – 0 тыс. руб.</w:t>
            </w:r>
          </w:p>
          <w:p w:rsidR="00D529C9" w:rsidRPr="00D529C9" w:rsidRDefault="00D529C9" w:rsidP="00D529C9">
            <w:pPr>
              <w:suppressAutoHyphens/>
              <w:spacing w:line="256" w:lineRule="auto"/>
              <w:jc w:val="both"/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- средства областного бюджета - 0 тыс. 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местного бюджета – 0</w:t>
            </w: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внебюджетных источников (иные) –  0 тыс. рублей</w:t>
            </w:r>
          </w:p>
          <w:p w:rsidR="00D529C9" w:rsidRPr="00D529C9" w:rsidRDefault="00D529C9" w:rsidP="00D529C9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>2022 год – 900 тыс. руб.</w:t>
            </w:r>
          </w:p>
          <w:p w:rsidR="00D529C9" w:rsidRPr="00D529C9" w:rsidRDefault="00D529C9" w:rsidP="00D529C9">
            <w:pPr>
              <w:suppressAutoHyphens/>
              <w:spacing w:line="256" w:lineRule="auto"/>
              <w:jc w:val="both"/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- средства областного бюджета - 0 тыс. 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местного бюджета – 900</w:t>
            </w:r>
            <w:r w:rsidRPr="00D529C9">
              <w:rPr>
                <w:rFonts w:eastAsia="SimSun" w:cs="Arial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тыс. рублей;</w:t>
            </w:r>
          </w:p>
          <w:p w:rsidR="00D529C9" w:rsidRPr="00D529C9" w:rsidRDefault="00D529C9" w:rsidP="00D529C9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D529C9">
              <w:rPr>
                <w:rFonts w:eastAsia="SimSun" w:cs="Arial"/>
                <w:spacing w:val="-1"/>
                <w:sz w:val="28"/>
                <w:szCs w:val="28"/>
                <w:shd w:val="clear" w:color="auto" w:fill="FFFFFF"/>
                <w:lang w:eastAsia="ar-SA"/>
              </w:rPr>
              <w:t>- средства внебюджетных источников (иные) –  0 тыс. рублей</w:t>
            </w:r>
          </w:p>
        </w:tc>
      </w:tr>
    </w:tbl>
    <w:p w:rsidR="00D529C9" w:rsidRPr="00D529C9" w:rsidRDefault="00D529C9" w:rsidP="00D529C9">
      <w:pPr>
        <w:ind w:firstLine="709"/>
        <w:jc w:val="both"/>
        <w:rPr>
          <w:sz w:val="28"/>
          <w:szCs w:val="28"/>
        </w:rPr>
      </w:pPr>
    </w:p>
    <w:p w:rsidR="00D529C9" w:rsidRPr="00D529C9" w:rsidRDefault="00D529C9" w:rsidP="00D529C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529C9">
        <w:rPr>
          <w:sz w:val="28"/>
          <w:szCs w:val="28"/>
        </w:rPr>
        <w:t xml:space="preserve">2. Раздел </w:t>
      </w:r>
      <w:r w:rsidRPr="00D529C9">
        <w:rPr>
          <w:bCs/>
          <w:sz w:val="28"/>
          <w:szCs w:val="28"/>
          <w:lang w:val="en-US"/>
        </w:rPr>
        <w:t>V</w:t>
      </w:r>
      <w:r w:rsidRPr="00D529C9">
        <w:rPr>
          <w:bCs/>
          <w:sz w:val="28"/>
          <w:szCs w:val="28"/>
        </w:rPr>
        <w:t xml:space="preserve"> Муниципальной программы </w:t>
      </w:r>
      <w:r w:rsidRPr="00D529C9">
        <w:rPr>
          <w:sz w:val="28"/>
          <w:szCs w:val="28"/>
        </w:rPr>
        <w:t>изложить в следующей редакции:</w:t>
      </w:r>
    </w:p>
    <w:p w:rsidR="00D529C9" w:rsidRPr="00D529C9" w:rsidRDefault="00D529C9" w:rsidP="00D529C9">
      <w:pPr>
        <w:widowControl w:val="0"/>
        <w:autoSpaceDE w:val="0"/>
        <w:autoSpaceDN w:val="0"/>
        <w:adjustRightInd w:val="0"/>
        <w:spacing w:after="160"/>
        <w:contextualSpacing/>
        <w:jc w:val="center"/>
        <w:outlineLvl w:val="0"/>
        <w:rPr>
          <w:rFonts w:eastAsia="Calibri"/>
          <w:b/>
          <w:sz w:val="28"/>
          <w:szCs w:val="28"/>
          <w:lang w:eastAsia="ar-SA"/>
        </w:rPr>
      </w:pPr>
      <w:r w:rsidRPr="00D529C9">
        <w:rPr>
          <w:bCs/>
          <w:sz w:val="28"/>
          <w:szCs w:val="28"/>
        </w:rPr>
        <w:t>«</w:t>
      </w:r>
      <w:bookmarkStart w:id="1" w:name="_Toc468800698"/>
      <w:r w:rsidRPr="00D529C9">
        <w:rPr>
          <w:rFonts w:eastAsia="Calibri"/>
          <w:b/>
          <w:sz w:val="28"/>
          <w:szCs w:val="28"/>
          <w:lang w:eastAsia="ar-SA"/>
        </w:rPr>
        <w:t>5. Обоснование ресурсного обеспечения Муниципальной программы</w:t>
      </w:r>
      <w:bookmarkEnd w:id="1"/>
    </w:p>
    <w:p w:rsidR="00D529C9" w:rsidRPr="00D529C9" w:rsidRDefault="00D529C9" w:rsidP="00D529C9">
      <w:pPr>
        <w:suppressAutoHyphens/>
        <w:ind w:firstLine="709"/>
        <w:jc w:val="both"/>
        <w:rPr>
          <w:rFonts w:eastAsia="SimSun" w:cs="Arial"/>
          <w:sz w:val="28"/>
          <w:szCs w:val="28"/>
          <w:lang w:eastAsia="ar-SA"/>
        </w:rPr>
      </w:pPr>
      <w:r w:rsidRPr="00D529C9">
        <w:rPr>
          <w:rFonts w:eastAsia="SimSun" w:cs="Arial"/>
          <w:sz w:val="28"/>
          <w:szCs w:val="28"/>
          <w:lang w:eastAsia="ar-SA"/>
        </w:rPr>
        <w:t>Финансирование мероприятий Муниципальной программы осуществляется за счет средств областного бюджета, бюджета муниципального образования «Шумячский района» и внебюджетных источников.</w:t>
      </w:r>
    </w:p>
    <w:p w:rsidR="00D529C9" w:rsidRPr="00D529C9" w:rsidRDefault="00D529C9" w:rsidP="00D529C9">
      <w:pPr>
        <w:suppressAutoHyphens/>
        <w:ind w:firstLine="709"/>
        <w:jc w:val="both"/>
        <w:rPr>
          <w:rFonts w:eastAsia="SimSun" w:cs="Arial"/>
          <w:sz w:val="28"/>
          <w:szCs w:val="28"/>
          <w:shd w:val="clear" w:color="auto" w:fill="FFFFFF"/>
          <w:lang w:eastAsia="ar-SA"/>
        </w:rPr>
      </w:pPr>
      <w:r w:rsidRPr="00D529C9">
        <w:rPr>
          <w:rFonts w:eastAsia="SimSun" w:cs="Arial"/>
          <w:sz w:val="28"/>
          <w:szCs w:val="28"/>
          <w:shd w:val="clear" w:color="auto" w:fill="FFFFFF"/>
          <w:lang w:eastAsia="ar-SA"/>
        </w:rPr>
        <w:t>Общий объем финансирования Муниципальной программы составляет 900 тыс. рублей, в том числе:</w:t>
      </w:r>
    </w:p>
    <w:p w:rsidR="00D529C9" w:rsidRPr="00D529C9" w:rsidRDefault="00D529C9" w:rsidP="00D529C9">
      <w:pPr>
        <w:suppressAutoHyphens/>
        <w:ind w:firstLine="709"/>
        <w:jc w:val="both"/>
        <w:rPr>
          <w:rFonts w:eastAsia="SimSun" w:cs="Arial"/>
          <w:spacing w:val="-1"/>
          <w:sz w:val="28"/>
          <w:szCs w:val="28"/>
          <w:shd w:val="clear" w:color="auto" w:fill="FFFFFF"/>
          <w:lang w:eastAsia="ar-SA"/>
        </w:rPr>
      </w:pPr>
      <w:r w:rsidRPr="00D529C9">
        <w:rPr>
          <w:rFonts w:eastAsia="SimSun" w:cs="Arial"/>
          <w:spacing w:val="-1"/>
          <w:sz w:val="28"/>
          <w:szCs w:val="28"/>
          <w:shd w:val="clear" w:color="auto" w:fill="FFFFFF"/>
          <w:lang w:eastAsia="ar-SA"/>
        </w:rPr>
        <w:t>- средства областного бюджета – 0 тыс. рублей;</w:t>
      </w:r>
    </w:p>
    <w:p w:rsidR="00D529C9" w:rsidRPr="00D529C9" w:rsidRDefault="00D529C9" w:rsidP="00D529C9">
      <w:pPr>
        <w:suppressAutoHyphens/>
        <w:ind w:firstLine="709"/>
        <w:jc w:val="both"/>
        <w:rPr>
          <w:rFonts w:eastAsia="SimSun" w:cs="Arial"/>
          <w:spacing w:val="-1"/>
          <w:sz w:val="28"/>
          <w:szCs w:val="28"/>
          <w:shd w:val="clear" w:color="auto" w:fill="FFFFFF"/>
          <w:lang w:eastAsia="ar-SA"/>
        </w:rPr>
      </w:pPr>
      <w:r w:rsidRPr="00D529C9">
        <w:rPr>
          <w:rFonts w:eastAsia="SimSun" w:cs="Arial"/>
          <w:spacing w:val="-1"/>
          <w:sz w:val="28"/>
          <w:szCs w:val="28"/>
          <w:shd w:val="clear" w:color="auto" w:fill="FFFFFF"/>
          <w:lang w:eastAsia="ar-SA"/>
        </w:rPr>
        <w:t>- средства местного бюджета – 900 тыс. рублей;</w:t>
      </w:r>
    </w:p>
    <w:p w:rsidR="00D529C9" w:rsidRPr="00D529C9" w:rsidRDefault="00D529C9" w:rsidP="00D529C9">
      <w:pPr>
        <w:suppressAutoHyphens/>
        <w:ind w:firstLine="709"/>
        <w:jc w:val="both"/>
        <w:rPr>
          <w:rFonts w:eastAsia="SimSun" w:cs="Arial"/>
          <w:spacing w:val="-1"/>
          <w:sz w:val="28"/>
          <w:szCs w:val="28"/>
          <w:shd w:val="clear" w:color="auto" w:fill="FFFFFF"/>
          <w:lang w:eastAsia="ar-SA"/>
        </w:rPr>
      </w:pPr>
      <w:r w:rsidRPr="00D529C9">
        <w:rPr>
          <w:rFonts w:eastAsia="SimSun" w:cs="Arial"/>
          <w:spacing w:val="-1"/>
          <w:sz w:val="28"/>
          <w:szCs w:val="28"/>
          <w:shd w:val="clear" w:color="auto" w:fill="FFFFFF"/>
          <w:lang w:eastAsia="ar-SA"/>
        </w:rPr>
        <w:t>- средства внебюджетных источников –  0 тыс. рублей.</w:t>
      </w:r>
    </w:p>
    <w:p w:rsidR="00D529C9" w:rsidRPr="00D529C9" w:rsidRDefault="00D529C9" w:rsidP="00D529C9">
      <w:pPr>
        <w:suppressAutoHyphens/>
        <w:ind w:firstLine="709"/>
        <w:jc w:val="both"/>
        <w:rPr>
          <w:rFonts w:eastAsia="SimSun" w:cs="Arial"/>
          <w:sz w:val="28"/>
          <w:szCs w:val="28"/>
          <w:lang w:eastAsia="ar-SA"/>
        </w:rPr>
      </w:pPr>
      <w:r w:rsidRPr="00D529C9">
        <w:rPr>
          <w:rFonts w:eastAsia="SimSun" w:cs="Arial"/>
          <w:sz w:val="28"/>
          <w:szCs w:val="28"/>
          <w:lang w:eastAsia="ar-SA"/>
        </w:rPr>
        <w:t>Перечень мероприятий Муниципальной программы и объемы их финансирования следует уточнять и планировать ежегодно при разработке прогнозов районного социально-экономического развития в соответствии с законодательством Смоленской области.</w:t>
      </w:r>
    </w:p>
    <w:p w:rsidR="00D529C9" w:rsidRPr="00D529C9" w:rsidRDefault="00D529C9" w:rsidP="00D529C9">
      <w:pPr>
        <w:suppressAutoHyphens/>
        <w:ind w:firstLine="709"/>
        <w:jc w:val="both"/>
        <w:rPr>
          <w:rFonts w:eastAsia="SimSun" w:cs="Arial"/>
          <w:sz w:val="28"/>
          <w:szCs w:val="28"/>
          <w:lang w:eastAsia="ar-SA"/>
        </w:rPr>
      </w:pPr>
      <w:r w:rsidRPr="00D529C9">
        <w:rPr>
          <w:rFonts w:eastAsia="SimSun" w:cs="Arial"/>
          <w:sz w:val="28"/>
          <w:szCs w:val="28"/>
          <w:lang w:eastAsia="ar-SA"/>
        </w:rPr>
        <w:t xml:space="preserve">Отбор исполнителей работ в рамках мероприятий Муниципальной программы, реализуемых за счет бюджетных ассигнований, осуществляется в соответствии с </w:t>
      </w:r>
      <w:r w:rsidRPr="00D529C9">
        <w:rPr>
          <w:rFonts w:eastAsia="SimSun" w:cs="Arial"/>
          <w:sz w:val="28"/>
          <w:szCs w:val="28"/>
          <w:lang w:eastAsia="ar-SA"/>
        </w:rPr>
        <w:lastRenderedPageBreak/>
        <w:t>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529C9" w:rsidRPr="00D529C9" w:rsidRDefault="00D529C9" w:rsidP="00D529C9">
      <w:pPr>
        <w:suppressAutoHyphens/>
        <w:autoSpaceDE w:val="0"/>
        <w:autoSpaceDN w:val="0"/>
        <w:adjustRightInd w:val="0"/>
        <w:ind w:firstLine="709"/>
        <w:jc w:val="both"/>
        <w:rPr>
          <w:rFonts w:eastAsia="SimSun" w:cs="Arial"/>
          <w:sz w:val="28"/>
          <w:szCs w:val="28"/>
          <w:lang w:eastAsia="ar-SA"/>
        </w:rPr>
      </w:pPr>
      <w:r w:rsidRPr="00D529C9">
        <w:rPr>
          <w:rFonts w:eastAsia="SimSun" w:cs="Arial"/>
          <w:sz w:val="28"/>
          <w:szCs w:val="28"/>
          <w:lang w:eastAsia="ar-SA"/>
        </w:rPr>
        <w:t>Контроль за целевым и эффективным использованием бюджетных ассигнований осуществляется в соответствии с бюджетным законодательством.»</w:t>
      </w:r>
    </w:p>
    <w:p w:rsidR="00D529C9" w:rsidRDefault="00D529C9" w:rsidP="00D529C9">
      <w:pPr>
        <w:rPr>
          <w:sz w:val="28"/>
          <w:szCs w:val="28"/>
        </w:rPr>
      </w:pPr>
    </w:p>
    <w:p w:rsidR="00D529C9" w:rsidRPr="00D529C9" w:rsidRDefault="00D529C9" w:rsidP="00D529C9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23"/>
        <w:gridCol w:w="4674"/>
      </w:tblGrid>
      <w:tr w:rsidR="00D529C9" w:rsidRPr="00D529C9" w:rsidTr="00D529C9">
        <w:tc>
          <w:tcPr>
            <w:tcW w:w="5423" w:type="dxa"/>
            <w:hideMark/>
          </w:tcPr>
          <w:p w:rsidR="00D529C9" w:rsidRPr="00D529C9" w:rsidRDefault="00D529C9" w:rsidP="00D529C9">
            <w:pPr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529C9" w:rsidRPr="00D529C9" w:rsidRDefault="00D529C9" w:rsidP="00D529C9">
            <w:pPr>
              <w:jc w:val="both"/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674" w:type="dxa"/>
          </w:tcPr>
          <w:p w:rsidR="00D529C9" w:rsidRPr="00D529C9" w:rsidRDefault="00D529C9" w:rsidP="00D529C9">
            <w:pPr>
              <w:rPr>
                <w:sz w:val="28"/>
                <w:szCs w:val="28"/>
              </w:rPr>
            </w:pPr>
          </w:p>
          <w:p w:rsidR="00D529C9" w:rsidRPr="00D529C9" w:rsidRDefault="00D529C9" w:rsidP="00D529C9">
            <w:pPr>
              <w:rPr>
                <w:sz w:val="28"/>
                <w:szCs w:val="28"/>
              </w:rPr>
            </w:pPr>
            <w:r w:rsidRPr="00D529C9">
              <w:rPr>
                <w:sz w:val="28"/>
                <w:szCs w:val="28"/>
              </w:rPr>
              <w:t xml:space="preserve">                                  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93" w:rsidRDefault="00D02E93" w:rsidP="00FC6C01">
      <w:r>
        <w:separator/>
      </w:r>
    </w:p>
  </w:endnote>
  <w:endnote w:type="continuationSeparator" w:id="0">
    <w:p w:rsidR="00D02E93" w:rsidRDefault="00D02E9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93" w:rsidRDefault="00D02E93" w:rsidP="00FC6C01">
      <w:r>
        <w:separator/>
      </w:r>
    </w:p>
  </w:footnote>
  <w:footnote w:type="continuationSeparator" w:id="0">
    <w:p w:rsidR="00D02E93" w:rsidRDefault="00D02E9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5FA1">
      <w:rPr>
        <w:rStyle w:val="aa"/>
        <w:noProof/>
      </w:rPr>
      <w:t>3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AE4FAF"/>
    <w:multiLevelType w:val="hybridMultilevel"/>
    <w:tmpl w:val="E188D6F8"/>
    <w:lvl w:ilvl="0" w:tplc="17846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1C51EE"/>
    <w:multiLevelType w:val="hybridMultilevel"/>
    <w:tmpl w:val="9800E658"/>
    <w:lvl w:ilvl="0" w:tplc="B1823F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19"/>
  </w:num>
  <w:num w:numId="11">
    <w:abstractNumId w:val="7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3FE4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AF5FA1"/>
    <w:rsid w:val="00B01625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0555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2E93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9C9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13F1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13B1-651C-4C78-AB65-D3DBC163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2021-12-24T08:29:00Z</cp:lastPrinted>
  <dcterms:created xsi:type="dcterms:W3CDTF">2022-01-12T09:31:00Z</dcterms:created>
  <dcterms:modified xsi:type="dcterms:W3CDTF">2022-01-12T09:31:00Z</dcterms:modified>
</cp:coreProperties>
</file>