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906856">
        <w:rPr>
          <w:sz w:val="28"/>
          <w:szCs w:val="28"/>
          <w:u w:val="single"/>
        </w:rPr>
        <w:t>29.07.2022г.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906856">
        <w:rPr>
          <w:sz w:val="28"/>
          <w:szCs w:val="28"/>
        </w:rPr>
        <w:t xml:space="preserve"> 371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243"/>
      </w:tblGrid>
      <w:tr w:rsidR="007B733A" w:rsidRPr="0076051B" w:rsidTr="007B733A">
        <w:trPr>
          <w:trHeight w:val="1805"/>
        </w:trPr>
        <w:tc>
          <w:tcPr>
            <w:tcW w:w="4395" w:type="dxa"/>
            <w:hideMark/>
          </w:tcPr>
          <w:p w:rsidR="007B733A" w:rsidRPr="0076051B" w:rsidRDefault="007B733A" w:rsidP="00B17835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76051B">
              <w:rPr>
                <w:sz w:val="28"/>
                <w:szCs w:val="28"/>
              </w:rPr>
              <w:t>О внесение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7B733A" w:rsidRPr="0076051B" w:rsidRDefault="007B733A" w:rsidP="00B1783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B733A" w:rsidRPr="0076051B" w:rsidRDefault="007B733A" w:rsidP="007B733A">
      <w:pPr>
        <w:ind w:firstLine="709"/>
        <w:jc w:val="both"/>
        <w:outlineLvl w:val="0"/>
        <w:rPr>
          <w:color w:val="FF0000"/>
          <w:szCs w:val="24"/>
        </w:rPr>
      </w:pPr>
    </w:p>
    <w:p w:rsidR="007B733A" w:rsidRPr="0076051B" w:rsidRDefault="007B733A" w:rsidP="007B733A">
      <w:pPr>
        <w:ind w:firstLine="709"/>
        <w:jc w:val="both"/>
        <w:outlineLvl w:val="0"/>
        <w:rPr>
          <w:kern w:val="36"/>
          <w:sz w:val="28"/>
          <w:szCs w:val="28"/>
        </w:rPr>
      </w:pPr>
      <w:r w:rsidRPr="0076051B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76051B"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>П О С Т А Н О В Л Я Е Т:</w:t>
      </w:r>
    </w:p>
    <w:p w:rsidR="007B733A" w:rsidRPr="0076051B" w:rsidRDefault="007B733A" w:rsidP="007B733A">
      <w:pPr>
        <w:tabs>
          <w:tab w:val="left" w:pos="720"/>
        </w:tabs>
        <w:ind w:firstLine="709"/>
        <w:jc w:val="both"/>
        <w:rPr>
          <w:szCs w:val="24"/>
        </w:rPr>
      </w:pPr>
    </w:p>
    <w:p w:rsidR="007B733A" w:rsidRPr="0076051B" w:rsidRDefault="007B733A" w:rsidP="007B733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муниципальном образовании «Шумячский район» Смоленской области от 31.03.2022г №181; от 27.04.2022г. №234) (далее – Программа) внести следующие изменения:</w:t>
      </w:r>
    </w:p>
    <w:p w:rsidR="007B733A" w:rsidRPr="0076051B" w:rsidRDefault="007B733A" w:rsidP="007B733A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В паспорте Программы:</w:t>
      </w:r>
    </w:p>
    <w:p w:rsidR="007B733A" w:rsidRPr="0076051B" w:rsidRDefault="007B733A" w:rsidP="007B733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 xml:space="preserve"> - позицию «Объемы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периода)» изложить в следующей редакции: </w:t>
      </w:r>
    </w:p>
    <w:p w:rsidR="007B733A" w:rsidRPr="0076051B" w:rsidRDefault="007B733A" w:rsidP="007B733A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7B733A" w:rsidRPr="0076051B" w:rsidTr="00B17835">
        <w:trPr>
          <w:trHeight w:val="14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3A" w:rsidRPr="0076051B" w:rsidRDefault="007B733A" w:rsidP="00B17835">
            <w:pPr>
              <w:jc w:val="both"/>
              <w:rPr>
                <w:color w:val="FF0000"/>
                <w:sz w:val="28"/>
                <w:szCs w:val="28"/>
              </w:rPr>
            </w:pPr>
            <w:bookmarkStart w:id="1" w:name="_Hlk101193146"/>
            <w:r w:rsidRPr="0076051B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1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143 974 438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53 355 586</w:t>
                  </w:r>
                </w:p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7B733A" w:rsidRPr="0076051B" w:rsidTr="00B17835"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1 414 100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564 700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7B733A" w:rsidRPr="0076051B" w:rsidTr="00B17835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7B733A" w:rsidRPr="0076051B" w:rsidRDefault="007B733A" w:rsidP="00B1783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76051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163 168 194,8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57 941 894,8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7B733A" w:rsidRPr="0076051B" w:rsidRDefault="007B733A" w:rsidP="00B178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</w:tr>
            <w:bookmarkEnd w:id="2"/>
          </w:tbl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7B733A" w:rsidRPr="0076051B" w:rsidRDefault="007B733A" w:rsidP="007B733A">
      <w:pPr>
        <w:ind w:left="720"/>
        <w:contextualSpacing/>
        <w:jc w:val="right"/>
        <w:rPr>
          <w:sz w:val="28"/>
          <w:szCs w:val="28"/>
        </w:rPr>
      </w:pPr>
      <w:r w:rsidRPr="0076051B">
        <w:rPr>
          <w:sz w:val="28"/>
          <w:szCs w:val="28"/>
        </w:rPr>
        <w:t>»</w:t>
      </w:r>
    </w:p>
    <w:p w:rsidR="007B733A" w:rsidRPr="0076051B" w:rsidRDefault="007B733A" w:rsidP="007B733A">
      <w:pPr>
        <w:jc w:val="both"/>
      </w:pPr>
      <w:r w:rsidRPr="0076051B">
        <w:rPr>
          <w:sz w:val="28"/>
          <w:szCs w:val="28"/>
        </w:rPr>
        <w:t>- Раздел 2, подраздел 4</w:t>
      </w:r>
      <w:r w:rsidRPr="0076051B">
        <w:rPr>
          <w:b/>
          <w:sz w:val="28"/>
          <w:szCs w:val="28"/>
        </w:rPr>
        <w:t> «Финансовое обеспечение муниципальной программы</w:t>
      </w:r>
      <w:r w:rsidRPr="0076051B">
        <w:rPr>
          <w:sz w:val="28"/>
          <w:szCs w:val="28"/>
        </w:rPr>
        <w:t>» изложить в следующей редакции:</w:t>
      </w:r>
    </w:p>
    <w:p w:rsidR="007B733A" w:rsidRPr="0076051B" w:rsidRDefault="007B733A" w:rsidP="007B733A">
      <w:pPr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1481"/>
        <w:gridCol w:w="1544"/>
        <w:gridCol w:w="1546"/>
        <w:gridCol w:w="1395"/>
      </w:tblGrid>
      <w:tr w:rsidR="007B733A" w:rsidRPr="0076051B" w:rsidTr="00B17835">
        <w:trPr>
          <w:tblHeader/>
          <w:jc w:val="center"/>
        </w:trPr>
        <w:tc>
          <w:tcPr>
            <w:tcW w:w="1947" w:type="pct"/>
            <w:vMerge w:val="restar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58" w:type="pct"/>
            <w:vMerge w:val="restart"/>
          </w:tcPr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7B733A" w:rsidRPr="0076051B" w:rsidRDefault="007B733A" w:rsidP="00B17835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294" w:type="pct"/>
            <w:gridSpan w:val="3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B733A" w:rsidRPr="0076051B" w:rsidTr="00B17835">
        <w:trPr>
          <w:trHeight w:val="448"/>
          <w:tblHeader/>
          <w:jc w:val="center"/>
        </w:trPr>
        <w:tc>
          <w:tcPr>
            <w:tcW w:w="1947" w:type="pct"/>
            <w:vMerge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58" w:type="pct"/>
            <w:vMerge/>
          </w:tcPr>
          <w:p w:rsidR="007B733A" w:rsidRPr="0076051B" w:rsidRDefault="007B733A" w:rsidP="00B17835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90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1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14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7B733A" w:rsidRPr="0076051B" w:rsidTr="00B17835">
        <w:trPr>
          <w:trHeight w:val="282"/>
          <w:tblHeader/>
          <w:jc w:val="center"/>
        </w:trPr>
        <w:tc>
          <w:tcPr>
            <w:tcW w:w="1947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58" w:type="pct"/>
          </w:tcPr>
          <w:p w:rsidR="007B733A" w:rsidRPr="0076051B" w:rsidRDefault="007B733A" w:rsidP="00B17835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0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1" w:type="pct"/>
            <w:vAlign w:val="center"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14" w:type="pct"/>
            <w:vAlign w:val="center"/>
          </w:tcPr>
          <w:p w:rsidR="007B733A" w:rsidRPr="0076051B" w:rsidRDefault="007B733A" w:rsidP="00B1783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B733A" w:rsidRPr="0076051B" w:rsidTr="00B17835">
        <w:trPr>
          <w:trHeight w:val="433"/>
          <w:jc w:val="center"/>
        </w:trPr>
        <w:tc>
          <w:tcPr>
            <w:tcW w:w="1947" w:type="pct"/>
            <w:vAlign w:val="center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76051B">
              <w:rPr>
                <w:spacing w:val="-2"/>
                <w:szCs w:val="24"/>
                <w:lang w:eastAsia="en-US"/>
              </w:rPr>
              <w:t>,</w:t>
            </w:r>
          </w:p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163 168 194,8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57 941 894,8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7B733A" w:rsidRPr="0076051B" w:rsidTr="00B17835">
        <w:trPr>
          <w:trHeight w:val="404"/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143 974 438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53 355 586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7B733A" w:rsidRPr="0076051B" w:rsidTr="00B17835">
        <w:trPr>
          <w:jc w:val="center"/>
        </w:trPr>
        <w:tc>
          <w:tcPr>
            <w:tcW w:w="1947" w:type="pct"/>
          </w:tcPr>
          <w:p w:rsidR="007B733A" w:rsidRPr="0076051B" w:rsidRDefault="007B733A" w:rsidP="00B17835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58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790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791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7B733A" w:rsidRPr="0076051B" w:rsidRDefault="007B733A" w:rsidP="007B733A">
      <w:pPr>
        <w:spacing w:after="160" w:line="259" w:lineRule="auto"/>
        <w:rPr>
          <w:sz w:val="28"/>
          <w:szCs w:val="28"/>
        </w:rPr>
      </w:pPr>
    </w:p>
    <w:p w:rsidR="007B733A" w:rsidRPr="0076051B" w:rsidRDefault="007B733A" w:rsidP="007B733A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- Раздел «</w:t>
      </w:r>
      <w:r w:rsidRPr="0076051B">
        <w:rPr>
          <w:b/>
          <w:sz w:val="28"/>
          <w:szCs w:val="28"/>
        </w:rPr>
        <w:t>6.  Финансирования структурных элементов муниципальной программы</w:t>
      </w:r>
      <w:r w:rsidRPr="0076051B">
        <w:rPr>
          <w:sz w:val="28"/>
          <w:szCs w:val="28"/>
        </w:rPr>
        <w:t xml:space="preserve">» изложить в следующей редакции: </w:t>
      </w:r>
    </w:p>
    <w:p w:rsidR="007B733A" w:rsidRPr="0076051B" w:rsidRDefault="007B733A" w:rsidP="007B733A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7B733A" w:rsidRPr="0076051B" w:rsidTr="00B17835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B733A" w:rsidRPr="0076051B" w:rsidTr="00B17835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  <w:lang w:val="en-US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pacing w:val="-2"/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7B733A" w:rsidRPr="0076051B" w:rsidRDefault="007B733A" w:rsidP="007B733A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7B733A" w:rsidRPr="0076051B" w:rsidTr="00B17835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69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8</w:t>
            </w:r>
          </w:p>
        </w:tc>
      </w:tr>
      <w:tr w:rsidR="007B733A" w:rsidRPr="0076051B" w:rsidTr="00B17835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3 100 000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163 155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32 961, 16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3 100 000</w:t>
            </w:r>
          </w:p>
        </w:tc>
      </w:tr>
      <w:tr w:rsidR="007B733A" w:rsidRPr="0076051B" w:rsidTr="00B17835"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163 155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32 961, 16</w:t>
            </w:r>
          </w:p>
        </w:tc>
      </w:tr>
      <w:tr w:rsidR="007B733A" w:rsidRPr="0076051B" w:rsidTr="00B17835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1. 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47 438 029, 26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19 651 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13 719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14 067 000</w:t>
            </w:r>
          </w:p>
        </w:tc>
      </w:tr>
      <w:tr w:rsidR="007B733A" w:rsidRPr="0076051B" w:rsidTr="00B17835">
        <w:trPr>
          <w:trHeight w:val="9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</w:tr>
      <w:tr w:rsidR="007B733A" w:rsidRPr="0076051B" w:rsidTr="00B17835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2.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3.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33 374 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11 876 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24</w:t>
            </w:r>
          </w:p>
        </w:tc>
      </w:tr>
      <w:tr w:rsidR="007B733A" w:rsidRPr="0076051B" w:rsidTr="00B17835">
        <w:trPr>
          <w:trHeight w:val="9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</w:tr>
      <w:tr w:rsidR="007B733A" w:rsidRPr="0076051B" w:rsidTr="00B17835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18 914 060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6 641 060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</w:tr>
      <w:tr w:rsidR="007B733A" w:rsidRPr="0076051B" w:rsidTr="00B17835">
        <w:trPr>
          <w:trHeight w:val="9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6.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4 924 848,43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1 948 009,59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1 471</w:t>
            </w:r>
          </w:p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938,84</w:t>
            </w:r>
          </w:p>
        </w:tc>
      </w:tr>
      <w:tr w:rsidR="007B733A" w:rsidRPr="0076051B" w:rsidTr="00B17835">
        <w:trPr>
          <w:trHeight w:val="9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</w:tr>
      <w:tr w:rsidR="007B733A" w:rsidRPr="0076051B" w:rsidTr="00B17835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7.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8.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9. 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6 348 300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2 226 300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</w:tr>
      <w:tr w:rsidR="007B733A" w:rsidRPr="0076051B" w:rsidTr="00B17835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11. Обеспечение организационных условий для реализации муниципальных </w:t>
            </w:r>
            <w:r w:rsidRPr="0076051B">
              <w:rPr>
                <w:szCs w:val="24"/>
              </w:rPr>
              <w:lastRenderedPageBreak/>
              <w:t>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</w:tr>
      <w:tr w:rsidR="007B733A" w:rsidRPr="0076051B" w:rsidTr="00B17835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12.</w:t>
            </w:r>
          </w:p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Организация комплектования книжных фондов муни</w:t>
            </w:r>
            <w:r w:rsidRPr="0076051B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</w:tr>
      <w:tr w:rsidR="007B733A" w:rsidRPr="0076051B" w:rsidTr="00B17835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12 105,4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</w:tr>
      <w:tr w:rsidR="007B733A" w:rsidRPr="0076051B" w:rsidTr="00B17835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</w:tr>
      <w:tr w:rsidR="007B733A" w:rsidRPr="0076051B" w:rsidTr="00B17835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567 </w:t>
            </w:r>
          </w:p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19 700,</w:t>
            </w:r>
          </w:p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19 700, 85</w:t>
            </w:r>
          </w:p>
        </w:tc>
      </w:tr>
      <w:tr w:rsidR="007B733A" w:rsidRPr="0076051B" w:rsidTr="00B17835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124 305, 4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116 235, 1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4 035,15</w:t>
            </w:r>
          </w:p>
        </w:tc>
      </w:tr>
      <w:tr w:rsidR="007B733A" w:rsidRPr="0076051B" w:rsidTr="00B17835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right="-106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143 559 807,2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53 321870,11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45 276 464,84</w:t>
            </w:r>
          </w:p>
        </w:tc>
      </w:tr>
      <w:tr w:rsidR="007B733A" w:rsidRPr="0076051B" w:rsidTr="00B17835">
        <w:trPr>
          <w:trHeight w:val="9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7B733A" w:rsidRPr="0076051B" w:rsidTr="00B17835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7B733A" w:rsidRPr="0076051B" w:rsidRDefault="007B733A" w:rsidP="00B17835">
            <w:pPr>
              <w:ind w:right="-109"/>
              <w:rPr>
                <w:szCs w:val="24"/>
              </w:rPr>
            </w:pPr>
            <w:r w:rsidRPr="0076051B">
              <w:rPr>
                <w:szCs w:val="24"/>
              </w:rPr>
              <w:t xml:space="preserve"> федеральный бюджет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местные бюджеты</w:t>
            </w:r>
          </w:p>
          <w:p w:rsidR="007B733A" w:rsidRPr="0076051B" w:rsidRDefault="007B733A" w:rsidP="00B17835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внебюджетные источники</w:t>
            </w:r>
          </w:p>
          <w:p w:rsidR="007B733A" w:rsidRPr="0076051B" w:rsidRDefault="007B733A" w:rsidP="00B17835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163 168 194,8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57 941 894,8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7B733A" w:rsidRPr="0076051B" w:rsidTr="00B17835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7B733A" w:rsidRPr="0076051B" w:rsidTr="00B17835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7B733A" w:rsidRPr="0076051B" w:rsidTr="00B17835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143 974 438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53 355 586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7B733A" w:rsidRPr="0076051B" w:rsidTr="00B17835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1 414 100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33A" w:rsidRPr="0076051B" w:rsidRDefault="007B733A" w:rsidP="00B17835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6051B"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76051B">
        <w:rPr>
          <w:sz w:val="28"/>
          <w:szCs w:val="28"/>
        </w:rPr>
        <w:t xml:space="preserve"> 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51B">
        <w:rPr>
          <w:sz w:val="28"/>
          <w:szCs w:val="28"/>
        </w:rPr>
        <w:t>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51B">
        <w:rPr>
          <w:sz w:val="28"/>
          <w:szCs w:val="28"/>
        </w:rPr>
        <w:t>. Настоящее постановление вступает в силу со дня его подписания.</w:t>
      </w:r>
    </w:p>
    <w:p w:rsidR="007B733A" w:rsidRPr="0076051B" w:rsidRDefault="007B733A" w:rsidP="007B733A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51B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Варсанову.</w:t>
      </w:r>
    </w:p>
    <w:p w:rsidR="007B733A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</w:p>
    <w:p w:rsidR="007B733A" w:rsidRPr="0076051B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</w:p>
    <w:p w:rsidR="007B733A" w:rsidRPr="0076051B" w:rsidRDefault="007B733A" w:rsidP="007B733A">
      <w:pPr>
        <w:tabs>
          <w:tab w:val="left" w:pos="720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t>Глава муниципального образования</w:t>
      </w:r>
    </w:p>
    <w:p w:rsidR="007B733A" w:rsidRDefault="007B733A" w:rsidP="007B733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051B">
        <w:rPr>
          <w:sz w:val="28"/>
          <w:szCs w:val="28"/>
        </w:rPr>
        <w:t>«Шумячский район» Смоленской области</w:t>
      </w:r>
      <w:r w:rsidRPr="0076051B">
        <w:rPr>
          <w:sz w:val="28"/>
          <w:szCs w:val="28"/>
        </w:rPr>
        <w:tab/>
        <w:t xml:space="preserve"> 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8E" w:rsidRDefault="00E0318E">
      <w:r>
        <w:separator/>
      </w:r>
    </w:p>
  </w:endnote>
  <w:endnote w:type="continuationSeparator" w:id="0">
    <w:p w:rsidR="00E0318E" w:rsidRDefault="00E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8E" w:rsidRDefault="00E0318E">
      <w:r>
        <w:separator/>
      </w:r>
    </w:p>
  </w:footnote>
  <w:footnote w:type="continuationSeparator" w:id="0">
    <w:p w:rsidR="00E0318E" w:rsidRDefault="00E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6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A6314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64642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B733A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06856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18E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DB06-970F-4963-8B23-466B52AC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2022-07-29T12:31:00Z</cp:lastPrinted>
  <dcterms:created xsi:type="dcterms:W3CDTF">2022-10-03T11:29:00Z</dcterms:created>
  <dcterms:modified xsi:type="dcterms:W3CDTF">2022-10-03T11:29:00Z</dcterms:modified>
</cp:coreProperties>
</file>