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F4AB6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F4AB6">
        <w:rPr>
          <w:sz w:val="28"/>
          <w:szCs w:val="28"/>
        </w:rPr>
        <w:t xml:space="preserve"> 157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939" w:type="dxa"/>
        <w:tblInd w:w="-142" w:type="dxa"/>
        <w:tblLook w:val="04A0" w:firstRow="1" w:lastRow="0" w:firstColumn="1" w:lastColumn="0" w:noHBand="0" w:noVBand="1"/>
      </w:tblPr>
      <w:tblGrid>
        <w:gridCol w:w="4962"/>
        <w:gridCol w:w="4977"/>
      </w:tblGrid>
      <w:tr w:rsidR="00FF28BB" w:rsidRPr="00FF28BB" w:rsidTr="00FF28BB">
        <w:trPr>
          <w:trHeight w:val="2405"/>
        </w:trPr>
        <w:tc>
          <w:tcPr>
            <w:tcW w:w="4962" w:type="dxa"/>
          </w:tcPr>
          <w:p w:rsidR="00FF28BB" w:rsidRPr="00FF28BB" w:rsidRDefault="00FF28BB" w:rsidP="00FF28BB">
            <w:pPr>
              <w:tabs>
                <w:tab w:val="right" w:pos="10206"/>
              </w:tabs>
              <w:ind w:left="30"/>
              <w:jc w:val="both"/>
              <w:rPr>
                <w:sz w:val="28"/>
                <w:szCs w:val="28"/>
              </w:rPr>
            </w:pPr>
            <w:r w:rsidRPr="00FF28BB">
              <w:rPr>
                <w:sz w:val="28"/>
                <w:szCs w:val="28"/>
              </w:rPr>
              <w:t>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«</w:t>
            </w:r>
            <w:proofErr w:type="spellStart"/>
            <w:r w:rsidRPr="00FF28BB">
              <w:rPr>
                <w:sz w:val="28"/>
                <w:szCs w:val="28"/>
              </w:rPr>
              <w:t>Шумячский</w:t>
            </w:r>
            <w:proofErr w:type="spellEnd"/>
            <w:r w:rsidRPr="00FF28BB">
              <w:rPr>
                <w:sz w:val="28"/>
                <w:szCs w:val="28"/>
              </w:rPr>
              <w:t xml:space="preserve"> </w:t>
            </w:r>
            <w:bookmarkStart w:id="0" w:name="_Hlk190771952"/>
            <w:r w:rsidRPr="00FF28BB">
              <w:rPr>
                <w:sz w:val="28"/>
                <w:szCs w:val="28"/>
              </w:rPr>
              <w:t>муниципальный округ</w:t>
            </w:r>
            <w:bookmarkEnd w:id="0"/>
            <w:r w:rsidRPr="00FF28BB">
              <w:rPr>
                <w:sz w:val="28"/>
                <w:szCs w:val="28"/>
              </w:rPr>
              <w:t>» Смоленской области</w:t>
            </w:r>
          </w:p>
          <w:p w:rsidR="00FF28BB" w:rsidRPr="00FF28BB" w:rsidRDefault="00FF28BB" w:rsidP="00FF28BB">
            <w:pPr>
              <w:rPr>
                <w:sz w:val="28"/>
                <w:szCs w:val="28"/>
              </w:rPr>
            </w:pPr>
          </w:p>
        </w:tc>
        <w:tc>
          <w:tcPr>
            <w:tcW w:w="4977" w:type="dxa"/>
          </w:tcPr>
          <w:p w:rsidR="00FF28BB" w:rsidRPr="00FF28BB" w:rsidRDefault="00FF28BB" w:rsidP="00FF28BB">
            <w:pPr>
              <w:rPr>
                <w:sz w:val="28"/>
                <w:szCs w:val="28"/>
              </w:rPr>
            </w:pPr>
          </w:p>
        </w:tc>
      </w:tr>
    </w:tbl>
    <w:p w:rsidR="00FF28BB" w:rsidRPr="00FF28BB" w:rsidRDefault="00FF28BB" w:rsidP="00FF28BB">
      <w:pPr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9923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FF28BB">
        <w:rPr>
          <w:sz w:val="28"/>
          <w:szCs w:val="28"/>
        </w:rPr>
        <w:t xml:space="preserve"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</w:p>
    <w:p w:rsidR="00FF28BB" w:rsidRPr="00FF28BB" w:rsidRDefault="00FF28BB" w:rsidP="00FF28BB">
      <w:pPr>
        <w:tabs>
          <w:tab w:val="right" w:pos="9923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FF28BB">
        <w:rPr>
          <w:sz w:val="28"/>
          <w:szCs w:val="28"/>
        </w:rPr>
        <w:t>Администрация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-993"/>
        </w:tabs>
        <w:rPr>
          <w:sz w:val="28"/>
          <w:szCs w:val="28"/>
        </w:rPr>
      </w:pPr>
      <w:r w:rsidRPr="00FF28BB">
        <w:rPr>
          <w:sz w:val="28"/>
          <w:szCs w:val="28"/>
        </w:rPr>
        <w:tab/>
        <w:t>П О С Т А Н О В Л Я Е Т: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0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ab/>
        <w:t>1. Утвердить Порядок установления, изменения и отмены муниципальных маршрутов регулярных перевозок автомобильным транспортом на территории 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</w:t>
      </w:r>
      <w:r w:rsidR="00F32CE9">
        <w:rPr>
          <w:sz w:val="28"/>
          <w:szCs w:val="28"/>
        </w:rPr>
        <w:t>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 2. Признать утратившими силу постановление Администрации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район» Смоленской области от 16.09.2016г. №642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район» Смоленской области.</w:t>
      </w:r>
    </w:p>
    <w:p w:rsidR="00FF28BB" w:rsidRPr="00FF28BB" w:rsidRDefault="00FF28BB" w:rsidP="00C51D37">
      <w:pPr>
        <w:jc w:val="both"/>
        <w:rPr>
          <w:sz w:val="28"/>
          <w:szCs w:val="28"/>
        </w:rPr>
      </w:pPr>
      <w:r w:rsidRPr="00FF28BB">
        <w:rPr>
          <w:sz w:val="28"/>
          <w:szCs w:val="28"/>
        </w:rPr>
        <w:lastRenderedPageBreak/>
        <w:tab/>
        <w:t>3.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Глава муниципального образования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Смоленской области                                                                                  Д.А. Каменев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  <w:r w:rsidRPr="00FF28BB">
        <w:rPr>
          <w:sz w:val="28"/>
          <w:szCs w:val="28"/>
        </w:rPr>
        <w:t xml:space="preserve">                                                                                               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jc w:val="center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  <w:r w:rsidRPr="00FF28BB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4820"/>
        <w:gridCol w:w="5030"/>
      </w:tblGrid>
      <w:tr w:rsidR="00FF28BB" w:rsidRPr="00FF28BB" w:rsidTr="00FF28BB">
        <w:trPr>
          <w:trHeight w:val="1492"/>
        </w:trPr>
        <w:tc>
          <w:tcPr>
            <w:tcW w:w="4820" w:type="dxa"/>
          </w:tcPr>
          <w:p w:rsidR="00FF28BB" w:rsidRPr="00FF28BB" w:rsidRDefault="00FF28BB" w:rsidP="00FF28BB">
            <w:pPr>
              <w:tabs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5030" w:type="dxa"/>
          </w:tcPr>
          <w:p w:rsidR="00FF28BB" w:rsidRPr="00FF28BB" w:rsidRDefault="00FF28BB" w:rsidP="00FF28BB">
            <w:pPr>
              <w:tabs>
                <w:tab w:val="right" w:pos="10206"/>
              </w:tabs>
              <w:ind w:left="310"/>
              <w:jc w:val="both"/>
              <w:rPr>
                <w:sz w:val="28"/>
                <w:szCs w:val="28"/>
              </w:rPr>
            </w:pPr>
            <w:r w:rsidRPr="00FF28BB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FF28BB">
              <w:rPr>
                <w:sz w:val="28"/>
                <w:szCs w:val="28"/>
              </w:rPr>
              <w:t>Шумячский</w:t>
            </w:r>
            <w:proofErr w:type="spellEnd"/>
            <w:r w:rsidRPr="00FF28BB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FF28BB" w:rsidRPr="00FF28BB" w:rsidRDefault="00FF28BB" w:rsidP="00FF28BB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28BB">
              <w:rPr>
                <w:sz w:val="28"/>
                <w:szCs w:val="28"/>
              </w:rPr>
              <w:t xml:space="preserve">от </w:t>
            </w:r>
            <w:r w:rsidR="009F4AB6" w:rsidRPr="009F4AB6">
              <w:rPr>
                <w:sz w:val="28"/>
                <w:szCs w:val="28"/>
                <w:u w:val="single"/>
              </w:rPr>
              <w:t>20.02.2025г.</w:t>
            </w:r>
            <w:r w:rsidRPr="00FF28B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F4AB6">
              <w:rPr>
                <w:sz w:val="28"/>
                <w:szCs w:val="28"/>
              </w:rPr>
              <w:t>157</w:t>
            </w:r>
            <w:r w:rsidRPr="00FF28BB">
              <w:rPr>
                <w:sz w:val="28"/>
                <w:szCs w:val="28"/>
              </w:rPr>
              <w:t xml:space="preserve"> </w:t>
            </w:r>
          </w:p>
        </w:tc>
      </w:tr>
    </w:tbl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  <w:r w:rsidRPr="00FF28BB">
        <w:rPr>
          <w:sz w:val="28"/>
          <w:szCs w:val="28"/>
        </w:rPr>
        <w:t xml:space="preserve">                                      </w:t>
      </w: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ПОРЯДОК</w:t>
      </w: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установления, изменения и отмены муниципальных маршрутов</w:t>
      </w: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регулярных перевозок автомобильным транспортом</w:t>
      </w: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на территории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FF28BB">
        <w:rPr>
          <w:sz w:val="28"/>
          <w:szCs w:val="28"/>
        </w:rPr>
        <w:t>Смоленской области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1. ОБЩИЕ ПОЛОЖЕНИЯ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 1.1. Порядок установления, изменения и отмены муниципальных маршрутов регулярных перевозок автомобильным транспортом на территории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 (далее - Порядок) разработан в целях обеспечения безопасности перевозок пассажиров, повышения культуры и качества их обслуживания, оптимизации действующей маршрутной сети для максимального удовлетворения потребностей населения в транспортных услугах. Порядок предназначен для упорядочения процедуры установления новых, изменения или отмены существующих муниципальных маршрутов регулярных перевозок на территории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 (далее - муниципальный маршрут), установления единых подходов и сроков выполнения работ, связанных с их установлением, изменением и отменой.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1.2. Порядок разработан в соответствии с действующим федеральным законодательством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муниципальных маршрутах.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2. ОСНОВНЫЕ ТРЕБОВАНИЯ К ОРГАНИЗАЦИИ</w:t>
      </w: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МУНИЦИПАЛЬНЫХ МАРШРУТОВ</w:t>
      </w: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2.1. Решение об установлении, изменении или отмене муниципальных маршрутов принимает Администрация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области, в компетенцию которой входит организация транспортного обслуживания населения (далее – уполномоченный орган).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2.2. Обслуживание пассажиров на муниципальных маршрутах осуществляется автобусами, оснащенными бортовыми навигационными приборами системы ГЛОНАСС (ГЛОНАСС/GPS).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lastRenderedPageBreak/>
        <w:t xml:space="preserve">         2.3. Техническое состояние и размещение на муниципальных маршрутах объектов транспортной инфраструктуры должны отвечать требованиям, установленным техническими регламентами, а в случае, если законодательством Российской Федерации соответствующие обязательные к выполнению требования установлены ГОСТ или СНиП, - требованиям ГОСТ и СНиП.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2.4. Муниципальный маршрут устанавливается при условии соответствия пропускной способности дорог, вместимости остановочных пунктов, автовокзалов, автостанций, площадок для отстоя транспортных средств и расписания установленным нормам.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2.5. В решении об установлении или изменении муниципальных маршрутов указываются: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1) наименование маршрута регулярных перевозок в виде наименований начального остановочного пункта и конечного остановочного пункта;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6) протяженность маршрута регулярных перевозок;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8) вид регулярных перевозок;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10) планируемое расписание.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2.6. Перевозки пассажиров и багажа при осуществлении регулярных перевозок по регулируемым тарифам осуществляются по тарифам, утвержденным в установленном порядке.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Перевозки пассажиров и багажа при осуществлении регулярных перевозок по нерегулируемым тарифам осуществляются по тарифам, установленным перевозчиком.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2.7. Отправление (прибытие) автобусов на муниципальных маршрутах производится с  автостанции и остановочных пунктов. 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2.8. Перевозки на муниципальных маршрутах по регулируемым тарифам осуществляются в соответствии с Договорами на транспортное обслуживание населения (далее – Договора), заключаемыми Уполномоченным органом с юридическими лицами и индивидуальными предпринимателями (далее - перевозчики).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2.9. Перевозки на муниципальных маршрутах по нерегулируемым тарифам осуществляются на основании свидетельства об осуществлении перевозок по муниципальному маршруту регулярных перевозок (далее – Свидетельство). </w:t>
      </w:r>
      <w:r w:rsidRPr="00FF28BB">
        <w:rPr>
          <w:sz w:val="28"/>
          <w:szCs w:val="28"/>
        </w:rPr>
        <w:lastRenderedPageBreak/>
        <w:t>Свидетельство выдается по результатам открытого конкурса в порядке, установленном  в соответствии с Федеральным законодательством.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3. КОМИССИЯ ПО ВОПРОСАМ ОРГАНИЗАЦИИ МУНИЦИПАЛЬНЫХ МАРШРУТОВ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3.1. Для рассмотрения вопросов о целесообразности установления новых муниципальных маршрутов, выработки экспертных заключений по изменению или отмене действующих маршрутов создается комиссия по вопросам организации муниципальных маршрутов регулярных перевозок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 (далее - комиссия).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3.2. В состав комиссии входят председатель комиссии, заместитель председателя комиссии, секретарь комиссии и члены комиссии. На заседания комиссии могут приглашаться представители органов местного самоуправления муниципальных образований Шумячского муниципального округа Смоленской области, по территории которых предполагается прохождение данного маршрута, и представители перевозчика.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3.3. Персональный состав комиссии и Положение о комиссии утверждается постановлением Администрации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3.4. Заседание комиссии считается правомочным, если на нем присутствует не менее половины членов комиссии. Решение принимается простым большинством голосов. При равенстве голосов голос председательствующего считается решающим.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4. УСТАНОВЛЕНИЕ МУНИЦИПАЛЬНЫХ МАРШРУТОВ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4.1. Установление муниципальных маршрутов осуществляется по предложению уполномоченного органа, органов местного самоуправления муниципальных образований Шумячского муниципального округа Смоленской области, а также любых юридических и физических лиц.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4.2. Органы местного самоуправления муниципальных образований Шумячского муниципального округа Смоленской области, юридические и физические лица, инициирующие установление муниципального маршрута, представляют в уполномоченный орган обращение об установлении муниципального маршрута.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4.3. В целях подготовки решения комиссии о целесообразности и возможности установления муниципального маршрута уполномоченный орган организует обследование маршрута. По результатам обследования уполномоченный орган составляет и передает на рассмотрение комиссии акт обследования дорожных условий и заключение о прогнозируемом пассажиропотоке на маршруте. 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lastRenderedPageBreak/>
        <w:t xml:space="preserve">         4.4. После рассмотрения представленных документов комиссия направляет свои рекомендации по установлению муниципального маршрута в уполномоченный орган.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4.5. Решение об установлении или отказе в установлении муниципального маршрута принимается уполномоченным органом в течение месяца после получения им рекомендаций от комиссии.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4.6. Уполномоченный орган отказывает в установлении муниципального маршрута в случае, если предлагаемый маршрут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а </w:t>
      </w:r>
      <w:proofErr w:type="gramStart"/>
      <w:r w:rsidRPr="00FF28BB">
        <w:rPr>
          <w:sz w:val="28"/>
          <w:szCs w:val="28"/>
        </w:rPr>
        <w:t>так же</w:t>
      </w:r>
      <w:proofErr w:type="gramEnd"/>
      <w:r w:rsidRPr="00FF28BB">
        <w:rPr>
          <w:sz w:val="28"/>
          <w:szCs w:val="28"/>
        </w:rPr>
        <w:t xml:space="preserve"> в случае отсутствия востребованного пассажиропотока на предлагаемом маршруте.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4.7. Сведения об установленном муниципальном маршруте, предусмотренные Федеральным законом, подлежат включению в реестр муниципальных маршрутов регулярных перевозок муниципального образования «</w:t>
      </w:r>
      <w:proofErr w:type="spellStart"/>
      <w:r w:rsidRPr="00FF28BB">
        <w:rPr>
          <w:sz w:val="28"/>
          <w:szCs w:val="28"/>
        </w:rPr>
        <w:t>Шумячский</w:t>
      </w:r>
      <w:proofErr w:type="spellEnd"/>
      <w:r w:rsidRPr="00FF28BB">
        <w:rPr>
          <w:sz w:val="28"/>
          <w:szCs w:val="28"/>
        </w:rPr>
        <w:t xml:space="preserve"> муниципальный округ» Смоленской области (далее – реестр).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5. ИЗМЕНЕНИЕ И ОТМЕНА МУНИЦИПАЛЬНОГО МАРШРУТА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 5.1. Основанием для изменения или отмены муниципального маршрута является: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- выявление нарушений требований к техническому состоянию объектов транспортной инфраструктуры;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- установление новых маршрутов и изменение пассажиропотока.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5.2. Уполномоченный орган обязан уведомить перевозчика об отмене муниципального маршрута не позднее 180 дней до дня вступления в силу решения об отмене.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5.3. Изменение, отмена муниципального маршрута осуществляется в том же порядке, что и его установление.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 5.4. Уполномоченный орган отказывает в изменении муниципального маршрута в случае, если изменения маршрута не соответствует основным требованиям организации муниципальных маршрутов, установленным федеральным, региональным законодательством, настоящим Порядком, и (или) если изменение существенного ухудшает условия перевозки пассажиров, следующих по существующему маршруту.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5.5. Уполномоченный орган отказывает в отмене муниципального маршрута при наличии устойчивого пассажиропотока, а также с учетом социальной значимости маршрута.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5.6. Муниципальный маршрут считается отмененным со дня исключения сведений о данном маршруте из реестра.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lastRenderedPageBreak/>
        <w:t xml:space="preserve">       5.7. Муниципальный маршрут считается измененным со дня изменения сведений в реестре.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6. РАСПИСАНИЕ ДВИЖЕНИЯ НА МУНИЦИПАЛЬНЫХ МАРШРУТАХ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6.1. Перевозки пассажиров на муниципальных маршрутах осуществляются в соответствии с расписанием движения транспортных средств, утвержденным уполномоченным органом.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6.2. Расписание движения муниципальных маршрутов должно быть обеспечено фактической пропускной способностью уличной дорожной сети.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6.3. Расписание движения на муниципальных маршрутах устанавливается уполномоченным органом и является неотъемлемой частью Договора или Свидетельства.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 6.4. Уполномоченный орган вправе по согласованию с перевозчиком корректировать расписание движения автобусов. 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>В случае заключения Договора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нужд, изменение существенных условий договора возможно по соглашению сторон с учетом требований этого законодательства.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center"/>
        <w:rPr>
          <w:sz w:val="28"/>
          <w:szCs w:val="28"/>
        </w:rPr>
      </w:pPr>
      <w:r w:rsidRPr="00FF28BB">
        <w:rPr>
          <w:sz w:val="28"/>
          <w:szCs w:val="28"/>
        </w:rPr>
        <w:t>7. КОНТРОЛЬ ЗА ВЫПОЛНЕНИЕМ РЕГУЛЯРНЫХ ПЕРЕВОЗОК НА МУНИЦИПАЛЬНЫХ МАРШРУТАХ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7.1. Контроль за соблюдением перевозчиками норм и правил действующего транспортного законодательства осуществляют уполномоченные органы в пределах установленной компетенции.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     7.2. Контроль за выполнением перевозчиками условий Договоров на осуществление регулярных перевозок возлагается на уполномоченный орган.</w:t>
      </w: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jc w:val="both"/>
        <w:rPr>
          <w:sz w:val="28"/>
          <w:szCs w:val="28"/>
        </w:rPr>
      </w:pPr>
      <w:r w:rsidRPr="00FF28BB">
        <w:rPr>
          <w:sz w:val="28"/>
          <w:szCs w:val="28"/>
        </w:rPr>
        <w:t xml:space="preserve"> </w:t>
      </w:r>
    </w:p>
    <w:p w:rsidR="00FF28BB" w:rsidRPr="00FF28BB" w:rsidRDefault="00FF28BB" w:rsidP="00FF28BB">
      <w:pPr>
        <w:jc w:val="both"/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FF28BB" w:rsidRPr="00FF28BB" w:rsidRDefault="00FF28BB" w:rsidP="00FF28BB">
      <w:pPr>
        <w:tabs>
          <w:tab w:val="right" w:pos="10206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1" w:name="_GoBack"/>
      <w:bookmarkEnd w:id="1"/>
    </w:p>
    <w:sectPr w:rsidR="00C620D9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FE" w:rsidRDefault="001211FE">
      <w:r>
        <w:separator/>
      </w:r>
    </w:p>
  </w:endnote>
  <w:endnote w:type="continuationSeparator" w:id="0">
    <w:p w:rsidR="001211FE" w:rsidRDefault="001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FE" w:rsidRDefault="001211FE">
      <w:r>
        <w:separator/>
      </w:r>
    </w:p>
  </w:footnote>
  <w:footnote w:type="continuationSeparator" w:id="0">
    <w:p w:rsidR="001211FE" w:rsidRDefault="0012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675955"/>
      <w:docPartObj>
        <w:docPartGallery w:val="Page Numbers (Top of Page)"/>
        <w:docPartUnique/>
      </w:docPartObj>
    </w:sdtPr>
    <w:sdtEndPr/>
    <w:sdtContent>
      <w:p w:rsidR="00FF28BB" w:rsidRDefault="00FF2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11FE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033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426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4AB6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1D3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2CE9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28BB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4D882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2025-02-14T11:38:00Z</cp:lastPrinted>
  <dcterms:created xsi:type="dcterms:W3CDTF">2025-02-26T13:41:00Z</dcterms:created>
  <dcterms:modified xsi:type="dcterms:W3CDTF">2025-02-26T13:41:00Z</dcterms:modified>
</cp:coreProperties>
</file>