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71"/>
      </w:tblGrid>
      <w:tr>
        <w:trPr>
          <w:trHeight w:hRule="atLeast" w:val="10267"/>
        </w:trPr>
        <w:tc>
          <w:tcPr>
            <w:tcW w:type="dxa" w:w="9571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32"/>
              </w:rPr>
            </w:pPr>
          </w:p>
          <w:p w14:paraId="0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32"/>
              </w:rPr>
            </w:pPr>
          </w:p>
          <w:p w14:paraId="0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32"/>
              </w:rPr>
            </w:pPr>
            <w:r>
              <w:rPr>
                <w:rFonts w:ascii="Times New Roman" w:hAnsi="Times New Roman"/>
                <w:b w:val="1"/>
                <w:color w:val="000000"/>
                <w:sz w:val="32"/>
              </w:rPr>
              <w:t xml:space="preserve">Правила подачи служащими сведений о доходах и имуществе </w:t>
            </w:r>
          </w:p>
          <w:p w14:paraId="04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32"/>
              </w:rPr>
            </w:pPr>
            <w:r>
              <w:rPr>
                <w:rFonts w:ascii="Times New Roman" w:hAnsi="Times New Roman"/>
                <w:b w:val="1"/>
                <w:color w:val="000000"/>
                <w:sz w:val="32"/>
              </w:rPr>
              <w:t>(с 1 января 2026 года)</w:t>
            </w:r>
          </w:p>
          <w:p w14:paraId="05000000">
            <w:pPr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32"/>
              </w:rPr>
            </w:pPr>
          </w:p>
          <w:p w14:paraId="06000000">
            <w:pPr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32"/>
                <w:u w:val="none"/>
              </w:rPr>
            </w:pPr>
            <w:r>
              <w:rPr>
                <w:rFonts w:ascii="Times New Roman" w:hAnsi="Times New Roman"/>
                <w:color w:val="000000"/>
                <w:sz w:val="32"/>
                <w:u w:val="none"/>
              </w:rPr>
              <w:t>Федеральным 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instrText>HYPERLINK "https://www.consultant.ru/document/cons_doc_LAW_523022/"</w:instrTex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t>законом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32"/>
                <w:u w:val="none"/>
              </w:rPr>
              <w:t xml:space="preserve"> от 28.12.2025 № 505-ФЗ обновлены правила подачи государственными (муниципальными) служащими, руководителями государственных (муниципальных) учреждений сведений о доходах. </w:t>
            </w:r>
            <w:r>
              <w:rPr>
                <w:rFonts w:ascii="Times New Roman" w:hAnsi="Times New Roman"/>
                <w:color w:val="000000"/>
                <w:sz w:val="32"/>
                <w:u w:val="none"/>
              </w:rPr>
              <w:t>Основные новеллы:</w:t>
            </w:r>
          </w:p>
          <w:p w14:paraId="07000000">
            <w:pPr>
              <w:widowControl w:val="1"/>
              <w:spacing w:after="0" w:before="210" w:line="240" w:lineRule="auto"/>
              <w:ind/>
              <w:jc w:val="both"/>
              <w:rPr>
                <w:rFonts w:ascii="Times New Roman" w:hAnsi="Times New Roman"/>
                <w:color w:val="000000"/>
                <w:sz w:val="32"/>
                <w:u w:val="none"/>
              </w:rPr>
            </w:pPr>
            <w:r>
              <w:rPr>
                <w:rFonts w:ascii="Times New Roman" w:hAnsi="Times New Roman"/>
                <w:color w:val="000000"/>
                <w:sz w:val="32"/>
                <w:u w:val="none"/>
              </w:rPr>
              <w:t>- сведения о своих доходах и имуществе, о доходах и имуществе супругов и несовершеннолетних детей 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instrText>HYPERLINK "https://www.consultant.ru/document/cons_doc_LAW_523022/b62da3aeb315547b6915beadea02920bd7dd4c41/#dst100134"</w:instrTex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t>должны представлять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32"/>
                <w:u w:val="none"/>
              </w:rPr>
              <w:t> только те, кто претендует на должности государственной и муниципальной службы (кандидаты). Уже находящиеся на службе обязаны подать справку в случае перевода в другой госорган (на другую должность) или при несоответствии расходов доходам за три года;</w:t>
            </w:r>
          </w:p>
          <w:p w14:paraId="08000000">
            <w:pPr>
              <w:widowControl w:val="1"/>
              <w:spacing w:after="0" w:before="210" w:line="240" w:lineRule="auto"/>
              <w:ind/>
              <w:jc w:val="both"/>
              <w:rPr>
                <w:rFonts w:ascii="Times New Roman" w:hAnsi="Times New Roman"/>
                <w:color w:val="000000"/>
                <w:sz w:val="32"/>
                <w:u w:val="none"/>
              </w:rPr>
            </w:pPr>
            <w:r>
              <w:rPr>
                <w:rFonts w:ascii="Times New Roman" w:hAnsi="Times New Roman"/>
                <w:color w:val="000000"/>
                <w:sz w:val="32"/>
                <w:u w:val="none"/>
              </w:rPr>
              <w:t>- у ру</w:t>
            </w:r>
            <w:r>
              <w:rPr>
                <w:rFonts w:ascii="Times New Roman" w:hAnsi="Times New Roman"/>
                <w:color w:val="000000"/>
                <w:sz w:val="32"/>
                <w:u w:val="none"/>
              </w:rPr>
              <w:t>ководителей государственных и муниципальных учреждений 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instrText>HYPERLINK "https://www.consultant.ru/document/cons_doc_LAW_523022/c7f026b7764e8984216a49254aa592fda4abd50b/#dst100220"</w:instrTex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t>начинают контролировать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32"/>
                <w:u w:val="none"/>
              </w:rPr>
              <w:t> соответствие расходов и доходов;</w:t>
            </w:r>
          </w:p>
          <w:p w14:paraId="09000000">
            <w:pPr>
              <w:widowControl w:val="1"/>
              <w:spacing w:after="0" w:before="210" w:line="240" w:lineRule="auto"/>
              <w:ind/>
              <w:jc w:val="both"/>
              <w:rPr>
                <w:rFonts w:ascii="Times New Roman" w:hAnsi="Times New Roman"/>
                <w:color w:val="000000"/>
                <w:sz w:val="32"/>
                <w:u w:val="none"/>
              </w:rPr>
            </w:pPr>
            <w:r>
              <w:rPr>
                <w:rFonts w:ascii="Times New Roman" w:hAnsi="Times New Roman"/>
                <w:color w:val="000000"/>
                <w:sz w:val="32"/>
                <w:u w:val="none"/>
              </w:rPr>
              <w:t>- госслужащий 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instrText>HYPERLINK "https://www.consultant.ru/document/cons_doc_LAW_523022/6a73a7e61adc45fc3dd224c0e7194a1392c8b071/#dst100068"</w:instrTex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t>не может находиться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32"/>
                <w:u w:val="none"/>
              </w:rPr>
              <w:t> на службе, если подал заведомо неполные сведения (в прежней редакции закона такое правило применяли, когда сведения не представили или подали заведомо недостоверные);</w:t>
            </w:r>
          </w:p>
          <w:p w14:paraId="0A000000">
            <w:pPr>
              <w:widowControl w:val="1"/>
              <w:spacing w:after="0" w:before="210" w:line="240" w:lineRule="auto"/>
              <w:ind/>
              <w:jc w:val="both"/>
              <w:rPr>
                <w:rFonts w:ascii="Times New Roman" w:hAnsi="Times New Roman"/>
                <w:color w:val="000000"/>
                <w:sz w:val="32"/>
                <w:u w:val="none"/>
              </w:rPr>
            </w:pPr>
            <w:r>
              <w:rPr>
                <w:rFonts w:ascii="Times New Roman" w:hAnsi="Times New Roman"/>
                <w:color w:val="000000"/>
                <w:sz w:val="32"/>
                <w:u w:val="none"/>
              </w:rPr>
              <w:t>- антикоррупционные подразделения и ответственные должностные лица 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instrText>HYPERLINK "https://www.consultant.ru/document/cons_doc_LAW_523022/b62da3aeb315547b6915beadea02920bd7dd4c41/#dst100156"</w:instrTex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t>обязаны анализировать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32"/>
                <w:u w:val="none"/>
              </w:rPr>
              <w:t> сведения;</w:t>
            </w:r>
          </w:p>
          <w:p w14:paraId="0B000000">
            <w:pPr>
              <w:widowControl w:val="1"/>
              <w:spacing w:after="0" w:before="210" w:line="240" w:lineRule="auto"/>
              <w:ind/>
              <w:jc w:val="both"/>
              <w:rPr>
                <w:rFonts w:ascii="Times New Roman" w:hAnsi="Times New Roman"/>
                <w:color w:val="000000"/>
                <w:sz w:val="32"/>
                <w:u w:val="none"/>
              </w:rPr>
            </w:pPr>
            <w:r>
              <w:rPr>
                <w:rFonts w:ascii="Times New Roman" w:hAnsi="Times New Roman"/>
                <w:color w:val="000000"/>
                <w:sz w:val="32"/>
                <w:u w:val="none"/>
              </w:rPr>
              <w:t>- сведения 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instrText>HYPERLINK "https://www.consultant.ru/document/cons_doc_LAW_523022/b62da3aeb315547b6915beadea02920bd7dd4c41/#dst100149"</w:instrTex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t>не размещают</w:t>
            </w:r>
            <w:r>
              <w:rPr>
                <w:rStyle w:val="Style_1_ch"/>
                <w:rFonts w:ascii="Times New Roman" w:hAnsi="Times New Roman"/>
                <w:color w:val="000000"/>
                <w:sz w:val="32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32"/>
                <w:u w:val="none"/>
              </w:rPr>
              <w:t> в сети «Интернет».</w:t>
            </w:r>
          </w:p>
          <w:p w14:paraId="0C000000">
            <w:pPr>
              <w:spacing w:line="240" w:lineRule="auto"/>
              <w:ind/>
              <w:jc w:val="both"/>
              <w:rPr>
                <w:rFonts w:ascii="Times New Roman" w:hAnsi="Times New Roman"/>
                <w:sz w:val="32"/>
              </w:rPr>
            </w:pPr>
          </w:p>
          <w:p w14:paraId="0D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32"/>
              </w:rPr>
            </w:pPr>
          </w:p>
          <w:p w14:paraId="0E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памятка подготовлена </w:t>
            </w:r>
          </w:p>
          <w:p w14:paraId="0F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прокуратурой Шумячского района</w:t>
            </w:r>
          </w:p>
        </w:tc>
      </w:tr>
    </w:tbl>
    <w:p w14:paraId="10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32"/>
        </w:rPr>
      </w:pPr>
    </w:p>
    <w:p w14:paraId="11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32"/>
        </w:rPr>
      </w:pPr>
    </w:p>
    <w:p w14:paraId="12000000">
      <w:pPr>
        <w:pStyle w:val="Style_2"/>
        <w:spacing w:line="240" w:lineRule="auto"/>
        <w:ind/>
        <w:jc w:val="both"/>
        <w:rPr>
          <w:rFonts w:ascii="Times New Roman" w:hAnsi="Times New Roman"/>
          <w:sz w:val="32"/>
        </w:rPr>
      </w:pPr>
    </w:p>
    <w:p w14:paraId="13000000">
      <w:pPr>
        <w:pStyle w:val="Style_2"/>
        <w:spacing w:line="240" w:lineRule="auto"/>
        <w:ind/>
        <w:jc w:val="both"/>
        <w:rPr>
          <w:rFonts w:ascii="Times New Roman" w:hAnsi="Times New Roman"/>
          <w:sz w:val="32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2026-03-23T08:25:06Z</dcterms:created>
  <dcterms:modified xsi:type="dcterms:W3CDTF">2026-03-31T11:03:39Z</dcterms:modified>
</cp:coreProperties>
</file>