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916C20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610152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DF25C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</w:t>
      </w:r>
      <w:r w:rsidR="00DF25C2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D127F">
        <w:rPr>
          <w:sz w:val="28"/>
          <w:szCs w:val="28"/>
          <w:u w:val="single"/>
        </w:rPr>
        <w:t xml:space="preserve">16.01.2026г. </w:t>
      </w:r>
      <w:r w:rsidRPr="00FA5626">
        <w:rPr>
          <w:sz w:val="28"/>
          <w:szCs w:val="28"/>
        </w:rPr>
        <w:t>№</w:t>
      </w:r>
      <w:r w:rsidR="000D127F">
        <w:rPr>
          <w:sz w:val="28"/>
          <w:szCs w:val="28"/>
        </w:rPr>
        <w:t xml:space="preserve"> 3-р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905E5">
        <w:rPr>
          <w:sz w:val="28"/>
        </w:rPr>
        <w:t>пгт</w:t>
      </w:r>
      <w:proofErr w:type="spellEnd"/>
      <w:r w:rsidR="00A905E5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Шумячи</w:t>
      </w:r>
    </w:p>
    <w:p w:rsidR="00EA0535" w:rsidRDefault="00EA053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9"/>
        <w:gridCol w:w="4840"/>
      </w:tblGrid>
      <w:tr w:rsidR="00AA670E" w:rsidRPr="00AA670E" w:rsidTr="006A0AE3">
        <w:tc>
          <w:tcPr>
            <w:tcW w:w="4928" w:type="dxa"/>
          </w:tcPr>
          <w:p w:rsidR="00AA670E" w:rsidRPr="00AA670E" w:rsidRDefault="00AA670E" w:rsidP="00AA670E">
            <w:pPr>
              <w:autoSpaceDE w:val="0"/>
              <w:autoSpaceDN w:val="0"/>
              <w:adjustRightInd w:val="0"/>
              <w:ind w:left="-105" w:right="427"/>
              <w:jc w:val="both"/>
              <w:rPr>
                <w:bCs/>
                <w:color w:val="000000"/>
                <w:sz w:val="28"/>
                <w:szCs w:val="28"/>
              </w:rPr>
            </w:pPr>
            <w:r w:rsidRPr="00AA670E">
              <w:rPr>
                <w:bCs/>
                <w:sz w:val="28"/>
                <w:szCs w:val="28"/>
              </w:rPr>
              <w:t>Об утверждении плана проведения экспертизы муниципальных нормативных правовых актов в 2026 году</w:t>
            </w:r>
          </w:p>
        </w:tc>
        <w:tc>
          <w:tcPr>
            <w:tcW w:w="5096" w:type="dxa"/>
          </w:tcPr>
          <w:p w:rsidR="00AA670E" w:rsidRPr="00AA670E" w:rsidRDefault="00AA670E" w:rsidP="00AA670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A670E" w:rsidRDefault="00AA670E" w:rsidP="00AA670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A670E" w:rsidRPr="00AA670E" w:rsidRDefault="00AA670E" w:rsidP="00AA670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A670E" w:rsidRPr="00AA670E" w:rsidRDefault="00AA670E" w:rsidP="00AA6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70E">
        <w:rPr>
          <w:sz w:val="28"/>
          <w:szCs w:val="28"/>
        </w:rPr>
        <w:t>В соответствии с областным законом от 28.12.2016 г. № 166-з</w:t>
      </w:r>
      <w:r w:rsidRPr="00AA670E">
        <w:rPr>
          <w:rFonts w:eastAsia="Calibri"/>
          <w:sz w:val="28"/>
          <w:szCs w:val="28"/>
        </w:rPr>
        <w:t xml:space="preserve"> </w:t>
      </w:r>
      <w:r w:rsidRPr="00AA670E">
        <w:rPr>
          <w:rFonts w:eastAsia="Calibri"/>
          <w:bCs/>
          <w:sz w:val="28"/>
          <w:szCs w:val="28"/>
        </w:rPr>
        <w:t>«О внесении изменений в областной закон «Об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актов, экспертизы муниципальных нормативных правовых актов», постановлением</w:t>
      </w:r>
      <w:r w:rsidRPr="00AA670E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AA670E">
        <w:rPr>
          <w:sz w:val="28"/>
          <w:szCs w:val="28"/>
        </w:rPr>
        <w:t>Шумячский</w:t>
      </w:r>
      <w:proofErr w:type="spellEnd"/>
      <w:r w:rsidRPr="00AA670E">
        <w:rPr>
          <w:sz w:val="28"/>
          <w:szCs w:val="28"/>
        </w:rPr>
        <w:t xml:space="preserve"> муниципальный округ» Смоленской области от 15.01.2025г. № 32 «Об утверждении Порядка организации и проведения экспертизы муниципальных нормативных правовых актов муниципального образования «</w:t>
      </w:r>
      <w:proofErr w:type="spellStart"/>
      <w:r w:rsidRPr="00AA670E">
        <w:rPr>
          <w:sz w:val="28"/>
          <w:szCs w:val="28"/>
        </w:rPr>
        <w:t>Шумячский</w:t>
      </w:r>
      <w:proofErr w:type="spellEnd"/>
      <w:r w:rsidRPr="00AA670E">
        <w:rPr>
          <w:sz w:val="28"/>
          <w:szCs w:val="28"/>
        </w:rPr>
        <w:t xml:space="preserve"> муниципальный округ» Смоленской области», руководствуясь  </w:t>
      </w:r>
      <w:hyperlink r:id="rId9" w:history="1">
        <w:r w:rsidRPr="00AA670E">
          <w:rPr>
            <w:sz w:val="28"/>
            <w:szCs w:val="28"/>
          </w:rPr>
          <w:t>Уставом</w:t>
        </w:r>
      </w:hyperlink>
      <w:r w:rsidRPr="00AA670E">
        <w:rPr>
          <w:sz w:val="28"/>
          <w:szCs w:val="28"/>
        </w:rPr>
        <w:t xml:space="preserve"> муниципального образования «</w:t>
      </w:r>
      <w:proofErr w:type="spellStart"/>
      <w:r w:rsidRPr="00AA670E">
        <w:rPr>
          <w:sz w:val="28"/>
          <w:szCs w:val="28"/>
        </w:rPr>
        <w:t>Шумячский</w:t>
      </w:r>
      <w:proofErr w:type="spellEnd"/>
      <w:r w:rsidRPr="00AA670E">
        <w:rPr>
          <w:sz w:val="28"/>
          <w:szCs w:val="28"/>
        </w:rPr>
        <w:t xml:space="preserve"> муниципальный округ» Смоленской области </w:t>
      </w:r>
    </w:p>
    <w:p w:rsidR="00AA670E" w:rsidRPr="00AA670E" w:rsidRDefault="00AA670E" w:rsidP="00AA670E">
      <w:pPr>
        <w:ind w:firstLine="709"/>
        <w:jc w:val="both"/>
        <w:rPr>
          <w:sz w:val="28"/>
          <w:szCs w:val="28"/>
        </w:rPr>
      </w:pPr>
      <w:r w:rsidRPr="00AA670E">
        <w:rPr>
          <w:sz w:val="28"/>
          <w:szCs w:val="28"/>
        </w:rPr>
        <w:t>1. Утвердить прилагаемый план проведения экспертизы муниципальных нормативных правовых актов в 2026 году.</w:t>
      </w:r>
    </w:p>
    <w:p w:rsidR="00AA670E" w:rsidRPr="00AA670E" w:rsidRDefault="00AA670E" w:rsidP="00AA670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AA670E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AA670E">
        <w:rPr>
          <w:sz w:val="28"/>
          <w:szCs w:val="28"/>
        </w:rPr>
        <w:t>Шумячский</w:t>
      </w:r>
      <w:proofErr w:type="spellEnd"/>
      <w:r w:rsidRPr="00AA670E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AA670E" w:rsidRDefault="00AA670E" w:rsidP="00AA67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 xml:space="preserve">  </w:t>
      </w:r>
    </w:p>
    <w:p w:rsidR="00AA670E" w:rsidRDefault="00AA670E" w:rsidP="00AA67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70E" w:rsidRPr="00AA670E" w:rsidRDefault="00AA670E" w:rsidP="00AA67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70E" w:rsidRPr="00AA670E" w:rsidRDefault="00AA670E" w:rsidP="00AA67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>Глава муниципального образования</w:t>
      </w:r>
    </w:p>
    <w:p w:rsidR="00AA670E" w:rsidRPr="00AA670E" w:rsidRDefault="00AA670E" w:rsidP="00AA67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>«</w:t>
      </w:r>
      <w:proofErr w:type="spellStart"/>
      <w:r w:rsidRPr="00AA670E">
        <w:rPr>
          <w:sz w:val="28"/>
          <w:szCs w:val="28"/>
        </w:rPr>
        <w:t>Шумячский</w:t>
      </w:r>
      <w:proofErr w:type="spellEnd"/>
      <w:r w:rsidRPr="00AA670E">
        <w:rPr>
          <w:sz w:val="28"/>
          <w:szCs w:val="28"/>
        </w:rPr>
        <w:t xml:space="preserve"> муниципальный округ»</w:t>
      </w:r>
    </w:p>
    <w:p w:rsidR="00AA670E" w:rsidRPr="00AA670E" w:rsidRDefault="00AA670E" w:rsidP="00AA67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EC059B" w:rsidRDefault="00EC059B" w:rsidP="00AA670E">
      <w:pPr>
        <w:tabs>
          <w:tab w:val="left" w:pos="5670"/>
        </w:tabs>
        <w:autoSpaceDE w:val="0"/>
        <w:autoSpaceDN w:val="0"/>
        <w:adjustRightInd w:val="0"/>
        <w:ind w:firstLine="5812"/>
        <w:rPr>
          <w:sz w:val="28"/>
          <w:szCs w:val="28"/>
          <w:lang w:val="x-none" w:eastAsia="x-none"/>
        </w:rPr>
      </w:pPr>
    </w:p>
    <w:tbl>
      <w:tblPr>
        <w:tblW w:w="10171" w:type="dxa"/>
        <w:tblInd w:w="-142" w:type="dxa"/>
        <w:tblLook w:val="04A0" w:firstRow="1" w:lastRow="0" w:firstColumn="1" w:lastColumn="0" w:noHBand="0" w:noVBand="1"/>
      </w:tblPr>
      <w:tblGrid>
        <w:gridCol w:w="5085"/>
        <w:gridCol w:w="5086"/>
      </w:tblGrid>
      <w:tr w:rsidR="0008486F" w:rsidRPr="002760DD" w:rsidTr="006A0AE3">
        <w:tc>
          <w:tcPr>
            <w:tcW w:w="5068" w:type="dxa"/>
            <w:shd w:val="clear" w:color="auto" w:fill="auto"/>
          </w:tcPr>
          <w:p w:rsidR="0008486F" w:rsidRPr="002760DD" w:rsidRDefault="0008486F" w:rsidP="006A0AE3">
            <w:pPr>
              <w:pStyle w:val="af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8486F" w:rsidRPr="002760DD" w:rsidRDefault="0008486F" w:rsidP="006A0AE3">
            <w:pPr>
              <w:pStyle w:val="af"/>
              <w:ind w:left="175" w:right="55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УТВЕРЖДЕН</w:t>
            </w:r>
          </w:p>
          <w:p w:rsidR="0008486F" w:rsidRDefault="0008486F" w:rsidP="006A0AE3">
            <w:pPr>
              <w:pStyle w:val="af"/>
              <w:ind w:left="317" w:right="41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760DD">
              <w:rPr>
                <w:sz w:val="28"/>
                <w:szCs w:val="28"/>
              </w:rPr>
              <w:t>аспоряжением Администрации муниципально</w:t>
            </w:r>
            <w:r>
              <w:rPr>
                <w:sz w:val="28"/>
                <w:szCs w:val="28"/>
              </w:rPr>
              <w:t>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2760DD">
              <w:rPr>
                <w:sz w:val="28"/>
                <w:szCs w:val="28"/>
              </w:rPr>
              <w:t>» Смоле</w:t>
            </w:r>
            <w:r>
              <w:rPr>
                <w:sz w:val="28"/>
                <w:szCs w:val="28"/>
              </w:rPr>
              <w:t xml:space="preserve">нской области </w:t>
            </w:r>
          </w:p>
          <w:p w:rsidR="0008486F" w:rsidRPr="002760DD" w:rsidRDefault="0008486F" w:rsidP="006A0AE3">
            <w:pPr>
              <w:pStyle w:val="af"/>
              <w:ind w:left="317" w:right="55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D127F" w:rsidRPr="000D127F">
              <w:rPr>
                <w:sz w:val="28"/>
                <w:szCs w:val="28"/>
                <w:u w:val="single"/>
              </w:rPr>
              <w:t>16.01.2026г</w:t>
            </w:r>
            <w:r w:rsidR="000D127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0D127F">
              <w:rPr>
                <w:sz w:val="28"/>
                <w:szCs w:val="28"/>
              </w:rPr>
              <w:t xml:space="preserve"> 3-р</w:t>
            </w:r>
          </w:p>
        </w:tc>
      </w:tr>
    </w:tbl>
    <w:p w:rsidR="00AA670E" w:rsidRPr="00AA670E" w:rsidRDefault="00AA670E" w:rsidP="00AA670E">
      <w:pPr>
        <w:tabs>
          <w:tab w:val="left" w:pos="5670"/>
        </w:tabs>
        <w:autoSpaceDE w:val="0"/>
        <w:autoSpaceDN w:val="0"/>
        <w:adjustRightInd w:val="0"/>
        <w:ind w:firstLine="5812"/>
        <w:rPr>
          <w:sz w:val="28"/>
          <w:szCs w:val="28"/>
          <w:lang w:eastAsia="x-none"/>
        </w:rPr>
      </w:pPr>
    </w:p>
    <w:p w:rsidR="00EC059B" w:rsidRDefault="00EC059B" w:rsidP="00AA670E">
      <w:pPr>
        <w:spacing w:line="216" w:lineRule="auto"/>
        <w:jc w:val="center"/>
        <w:rPr>
          <w:b/>
          <w:sz w:val="28"/>
          <w:szCs w:val="28"/>
        </w:rPr>
      </w:pPr>
    </w:p>
    <w:p w:rsidR="00AA670E" w:rsidRPr="00AA670E" w:rsidRDefault="00AA670E" w:rsidP="00AA670E">
      <w:pPr>
        <w:spacing w:line="216" w:lineRule="auto"/>
        <w:jc w:val="center"/>
        <w:rPr>
          <w:sz w:val="28"/>
          <w:szCs w:val="28"/>
        </w:rPr>
      </w:pPr>
      <w:r w:rsidRPr="00AA670E">
        <w:rPr>
          <w:b/>
          <w:sz w:val="28"/>
          <w:szCs w:val="28"/>
        </w:rPr>
        <w:t xml:space="preserve">План </w:t>
      </w:r>
    </w:p>
    <w:p w:rsidR="00AA670E" w:rsidRPr="00AA670E" w:rsidRDefault="00AA670E" w:rsidP="00AA670E">
      <w:pPr>
        <w:spacing w:line="216" w:lineRule="auto"/>
        <w:jc w:val="center"/>
        <w:rPr>
          <w:b/>
          <w:sz w:val="28"/>
          <w:szCs w:val="28"/>
        </w:rPr>
      </w:pPr>
      <w:r w:rsidRPr="00AA670E">
        <w:rPr>
          <w:b/>
          <w:sz w:val="28"/>
          <w:szCs w:val="28"/>
        </w:rPr>
        <w:t>проведения экспертизы муниципальных нормативных правовых актов</w:t>
      </w:r>
    </w:p>
    <w:p w:rsidR="00AA670E" w:rsidRPr="00AA670E" w:rsidRDefault="00AA670E" w:rsidP="00AA670E">
      <w:pPr>
        <w:spacing w:line="216" w:lineRule="auto"/>
        <w:jc w:val="center"/>
        <w:rPr>
          <w:b/>
          <w:sz w:val="28"/>
          <w:szCs w:val="28"/>
        </w:rPr>
      </w:pPr>
      <w:r w:rsidRPr="00AA670E">
        <w:rPr>
          <w:b/>
          <w:sz w:val="28"/>
          <w:szCs w:val="28"/>
        </w:rPr>
        <w:t>в 2026 году</w:t>
      </w:r>
    </w:p>
    <w:p w:rsidR="00AA670E" w:rsidRDefault="00AA670E" w:rsidP="00AA670E">
      <w:pPr>
        <w:spacing w:line="216" w:lineRule="auto"/>
        <w:jc w:val="center"/>
        <w:rPr>
          <w:b/>
          <w:sz w:val="28"/>
          <w:szCs w:val="28"/>
        </w:rPr>
      </w:pPr>
    </w:p>
    <w:p w:rsidR="00EC059B" w:rsidRPr="00AA670E" w:rsidRDefault="00EC059B" w:rsidP="00AA670E">
      <w:pPr>
        <w:spacing w:line="216" w:lineRule="auto"/>
        <w:jc w:val="center"/>
        <w:rPr>
          <w:b/>
          <w:sz w:val="28"/>
          <w:szCs w:val="28"/>
        </w:rPr>
      </w:pPr>
    </w:p>
    <w:tbl>
      <w:tblPr>
        <w:tblW w:w="1045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11"/>
        <w:gridCol w:w="1134"/>
        <w:gridCol w:w="1559"/>
        <w:gridCol w:w="2517"/>
      </w:tblGrid>
      <w:tr w:rsidR="00AA670E" w:rsidRPr="00AA670E" w:rsidTr="00AA670E">
        <w:tc>
          <w:tcPr>
            <w:tcW w:w="534" w:type="dxa"/>
            <w:vMerge w:val="restart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№</w:t>
            </w:r>
          </w:p>
        </w:tc>
        <w:tc>
          <w:tcPr>
            <w:tcW w:w="4711" w:type="dxa"/>
            <w:vMerge w:val="restart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Наименование муниципального нормативного правового акта</w:t>
            </w:r>
          </w:p>
        </w:tc>
        <w:tc>
          <w:tcPr>
            <w:tcW w:w="2693" w:type="dxa"/>
            <w:gridSpan w:val="2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Срок проведения экспертизы*</w:t>
            </w:r>
          </w:p>
        </w:tc>
        <w:tc>
          <w:tcPr>
            <w:tcW w:w="2517" w:type="dxa"/>
          </w:tcPr>
          <w:p w:rsidR="00AA670E" w:rsidRPr="00AA670E" w:rsidRDefault="00AA670E" w:rsidP="00EC059B">
            <w:pPr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Орган местного самоуправления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 Смоленской области или его структурное подразделение, являющиеся разработчиком муниципального нормативного правового акта</w:t>
            </w:r>
          </w:p>
        </w:tc>
      </w:tr>
      <w:tr w:rsidR="00AA670E" w:rsidRPr="00AA670E" w:rsidTr="00AA670E">
        <w:tc>
          <w:tcPr>
            <w:tcW w:w="534" w:type="dxa"/>
            <w:vMerge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начало</w:t>
            </w:r>
          </w:p>
        </w:tc>
        <w:tc>
          <w:tcPr>
            <w:tcW w:w="1559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окончание</w:t>
            </w:r>
          </w:p>
        </w:tc>
        <w:tc>
          <w:tcPr>
            <w:tcW w:w="2517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AA670E" w:rsidRPr="00AA670E" w:rsidTr="00CF435B">
        <w:trPr>
          <w:trHeight w:val="991"/>
        </w:trPr>
        <w:tc>
          <w:tcPr>
            <w:tcW w:w="534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</w:tcPr>
          <w:p w:rsidR="00AA670E" w:rsidRDefault="00AA670E" w:rsidP="00EC059B">
            <w:pPr>
              <w:jc w:val="both"/>
              <w:rPr>
                <w:bCs/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 от</w:t>
            </w:r>
            <w:r w:rsidRPr="00AA670E">
              <w:rPr>
                <w:sz w:val="28"/>
                <w:szCs w:val="28"/>
                <w:u w:val="single"/>
              </w:rPr>
              <w:t xml:space="preserve"> </w:t>
            </w:r>
            <w:r w:rsidRPr="00AA670E">
              <w:rPr>
                <w:sz w:val="28"/>
                <w:szCs w:val="28"/>
              </w:rPr>
              <w:t>06.02.2025г. № 109</w:t>
            </w:r>
            <w:r w:rsidRPr="00AA670E">
              <w:rPr>
                <w:bCs/>
                <w:sz w:val="28"/>
                <w:szCs w:val="28"/>
              </w:rPr>
              <w:t xml:space="preserve">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AA670E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bCs/>
                <w:sz w:val="28"/>
                <w:szCs w:val="28"/>
              </w:rPr>
              <w:t xml:space="preserve"> муниципальный округ» Смоленской области муниципальной услуги «Предоставление информации об объектах учета, содержащейся в реестре объектов муниципальной собственности </w:t>
            </w:r>
            <w:r w:rsidRPr="00AA670E">
              <w:rPr>
                <w:bCs/>
                <w:sz w:val="28"/>
                <w:szCs w:val="28"/>
              </w:rPr>
              <w:lastRenderedPageBreak/>
              <w:t>Шумячского муниципальный округ Смоленской области»</w:t>
            </w:r>
          </w:p>
          <w:p w:rsidR="00AA670E" w:rsidRPr="00AA670E" w:rsidRDefault="00AA670E" w:rsidP="00EC059B">
            <w:pPr>
              <w:shd w:val="clear" w:color="auto" w:fill="FFFFFF"/>
              <w:ind w:hanging="9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670E" w:rsidRPr="00AA670E" w:rsidRDefault="00AA670E" w:rsidP="00AA670E">
            <w:pPr>
              <w:spacing w:line="216" w:lineRule="auto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559" w:type="dxa"/>
          </w:tcPr>
          <w:p w:rsidR="00AA670E" w:rsidRPr="00AA670E" w:rsidRDefault="00AA670E" w:rsidP="00CF435B">
            <w:pPr>
              <w:spacing w:line="216" w:lineRule="auto"/>
              <w:ind w:left="-112" w:right="30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март</w:t>
            </w:r>
          </w:p>
        </w:tc>
        <w:tc>
          <w:tcPr>
            <w:tcW w:w="2517" w:type="dxa"/>
          </w:tcPr>
          <w:p w:rsidR="00AA670E" w:rsidRPr="00AA670E" w:rsidRDefault="00AA670E" w:rsidP="00EC059B">
            <w:pPr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 xml:space="preserve">Отдел экономики, комплексного развития и инвестиционной деятельности Администрации муниципального образования» 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A670E" w:rsidRPr="00AA670E" w:rsidTr="00EC059B">
        <w:trPr>
          <w:trHeight w:val="4247"/>
        </w:trPr>
        <w:tc>
          <w:tcPr>
            <w:tcW w:w="534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</w:tcPr>
          <w:p w:rsidR="00AA670E" w:rsidRDefault="00AA670E" w:rsidP="00EC059B">
            <w:pPr>
              <w:jc w:val="both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 от 20.02.2025г. № 153 «Об утверждении Административного регламента по предоставлению Администрацией 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  <w:p w:rsidR="00CF435B" w:rsidRPr="00AA670E" w:rsidRDefault="00CF435B" w:rsidP="00EC05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июнь</w:t>
            </w:r>
          </w:p>
        </w:tc>
        <w:tc>
          <w:tcPr>
            <w:tcW w:w="2517" w:type="dxa"/>
          </w:tcPr>
          <w:p w:rsidR="00AA670E" w:rsidRPr="00AA670E" w:rsidRDefault="00AA670E" w:rsidP="00EC059B">
            <w:pPr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 xml:space="preserve">Отдел экономики, комплексного развития и инвестиционной деятельности Администрации муниципального образования» 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A670E" w:rsidRPr="00AA670E" w:rsidTr="00AA670E">
        <w:tc>
          <w:tcPr>
            <w:tcW w:w="534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3.</w:t>
            </w:r>
          </w:p>
        </w:tc>
        <w:tc>
          <w:tcPr>
            <w:tcW w:w="4711" w:type="dxa"/>
          </w:tcPr>
          <w:p w:rsidR="00AA670E" w:rsidRDefault="00AA670E" w:rsidP="00EC059B">
            <w:pPr>
              <w:jc w:val="both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  от 07.04.2025г. № 335 Об утверждении Административного  регламента Администрации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 по предоставлению  муниципальной услуги «Выдача разрешения на  использование  земель или земельного участка,  которые находятся в государственной или  муниципальной собственности, без  предоставления земельных участков и  установления сервитута, публичного сервитута»</w:t>
            </w:r>
          </w:p>
          <w:p w:rsidR="00CF435B" w:rsidRPr="00AA670E" w:rsidRDefault="00CF435B" w:rsidP="00EC05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AA670E" w:rsidRPr="00AA670E" w:rsidRDefault="00AA670E" w:rsidP="00EC059B">
            <w:pPr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A670E" w:rsidRPr="00AA670E" w:rsidTr="00AA670E">
        <w:tc>
          <w:tcPr>
            <w:tcW w:w="534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711" w:type="dxa"/>
          </w:tcPr>
          <w:p w:rsidR="00AA670E" w:rsidRPr="00AA670E" w:rsidRDefault="00AA670E" w:rsidP="00EC059B">
            <w:pPr>
              <w:jc w:val="both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постановление Администрации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 от 09.06.2025г. № 505 «Об утверждении Административного регламента Администрации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 по  предоставлению муниципальной услуги «Утверждение схемы расположения земельного участка или земельных участков на кадастровом плане территории» на территории муниципального образования 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области»                </w:t>
            </w:r>
          </w:p>
          <w:p w:rsidR="00AA670E" w:rsidRPr="00AA670E" w:rsidRDefault="00AA670E" w:rsidP="00EC059B">
            <w:pPr>
              <w:jc w:val="both"/>
              <w:rPr>
                <w:sz w:val="28"/>
                <w:szCs w:val="28"/>
              </w:rPr>
            </w:pPr>
          </w:p>
          <w:p w:rsidR="00AA670E" w:rsidRPr="00AA670E" w:rsidRDefault="00AA670E" w:rsidP="00EC05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670E" w:rsidRPr="00AA670E" w:rsidRDefault="00AA670E" w:rsidP="00AA670E">
            <w:pPr>
              <w:spacing w:line="216" w:lineRule="auto"/>
              <w:ind w:lef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A670E">
              <w:rPr>
                <w:sz w:val="28"/>
                <w:szCs w:val="28"/>
              </w:rPr>
              <w:t>ктябрь</w:t>
            </w:r>
          </w:p>
        </w:tc>
        <w:tc>
          <w:tcPr>
            <w:tcW w:w="1559" w:type="dxa"/>
          </w:tcPr>
          <w:p w:rsidR="00AA670E" w:rsidRPr="00AA670E" w:rsidRDefault="00AA670E" w:rsidP="00AA670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декабрь</w:t>
            </w:r>
          </w:p>
        </w:tc>
        <w:tc>
          <w:tcPr>
            <w:tcW w:w="2517" w:type="dxa"/>
          </w:tcPr>
          <w:p w:rsidR="00EC059B" w:rsidRDefault="00AA670E" w:rsidP="00EC059B">
            <w:pPr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 xml:space="preserve">Отдел экономики, комплексного развития и инвестиционной деятельности Администрации муниципального образования </w:t>
            </w:r>
          </w:p>
          <w:p w:rsidR="00AA670E" w:rsidRPr="00AA670E" w:rsidRDefault="00AA670E" w:rsidP="00EC059B">
            <w:pPr>
              <w:jc w:val="center"/>
              <w:rPr>
                <w:sz w:val="28"/>
                <w:szCs w:val="28"/>
              </w:rPr>
            </w:pPr>
            <w:r w:rsidRPr="00AA670E">
              <w:rPr>
                <w:sz w:val="28"/>
                <w:szCs w:val="28"/>
              </w:rPr>
              <w:t>«</w:t>
            </w:r>
            <w:proofErr w:type="spellStart"/>
            <w:r w:rsidRPr="00AA670E">
              <w:rPr>
                <w:sz w:val="28"/>
                <w:szCs w:val="28"/>
              </w:rPr>
              <w:t>Шумячский</w:t>
            </w:r>
            <w:proofErr w:type="spellEnd"/>
            <w:r w:rsidRPr="00AA670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AA670E" w:rsidRPr="00AA670E" w:rsidRDefault="00AA670E" w:rsidP="00AA670E">
      <w:pPr>
        <w:spacing w:line="216" w:lineRule="auto"/>
        <w:rPr>
          <w:b/>
          <w:sz w:val="28"/>
          <w:szCs w:val="28"/>
        </w:rPr>
      </w:pPr>
      <w:r w:rsidRPr="00AA670E">
        <w:rPr>
          <w:b/>
          <w:sz w:val="28"/>
          <w:szCs w:val="28"/>
        </w:rPr>
        <w:t>__________________</w:t>
      </w:r>
    </w:p>
    <w:p w:rsidR="00AA670E" w:rsidRPr="00AA670E" w:rsidRDefault="00AA670E" w:rsidP="00AA670E">
      <w:pPr>
        <w:spacing w:line="216" w:lineRule="auto"/>
        <w:jc w:val="both"/>
        <w:rPr>
          <w:b/>
          <w:sz w:val="28"/>
          <w:szCs w:val="28"/>
        </w:rPr>
      </w:pPr>
      <w:r w:rsidRPr="00AA670E">
        <w:rPr>
          <w:b/>
          <w:sz w:val="28"/>
          <w:szCs w:val="28"/>
        </w:rPr>
        <w:t>*</w:t>
      </w:r>
      <w:r w:rsidRPr="00AA670E">
        <w:rPr>
          <w:sz w:val="28"/>
          <w:szCs w:val="28"/>
        </w:rPr>
        <w:t xml:space="preserve"> срок проведения экспертизы не должен превышать 3 месяца с даты начала проведения экспертизы</w:t>
      </w:r>
    </w:p>
    <w:p w:rsidR="00463773" w:rsidRDefault="00463773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</w:p>
    <w:p w:rsidR="00CF435B" w:rsidRDefault="00CF435B">
      <w:pPr>
        <w:ind w:firstLine="709"/>
        <w:jc w:val="both"/>
        <w:rPr>
          <w:sz w:val="28"/>
        </w:rPr>
      </w:pPr>
      <w:bookmarkStart w:id="0" w:name="_GoBack"/>
      <w:bookmarkEnd w:id="0"/>
    </w:p>
    <w:sectPr w:rsidR="00CF435B" w:rsidSect="00CF435B">
      <w:headerReference w:type="even" r:id="rId10"/>
      <w:headerReference w:type="default" r:id="rId11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76A" w:rsidRDefault="00AA576A">
      <w:r>
        <w:separator/>
      </w:r>
    </w:p>
  </w:endnote>
  <w:endnote w:type="continuationSeparator" w:id="0">
    <w:p w:rsidR="00AA576A" w:rsidRDefault="00AA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76A" w:rsidRDefault="00AA576A">
      <w:r>
        <w:separator/>
      </w:r>
    </w:p>
  </w:footnote>
  <w:footnote w:type="continuationSeparator" w:id="0">
    <w:p w:rsidR="00AA576A" w:rsidRDefault="00AA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7546654"/>
      <w:docPartObj>
        <w:docPartGallery w:val="Page Numbers (Top of Page)"/>
        <w:docPartUnique/>
      </w:docPartObj>
    </w:sdtPr>
    <w:sdtEndPr/>
    <w:sdtContent>
      <w:p w:rsidR="00DD0243" w:rsidRDefault="00DD02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486F"/>
    <w:rsid w:val="0008546C"/>
    <w:rsid w:val="00087B11"/>
    <w:rsid w:val="00090D43"/>
    <w:rsid w:val="000A3C5A"/>
    <w:rsid w:val="000C2689"/>
    <w:rsid w:val="000C3F3E"/>
    <w:rsid w:val="000C475B"/>
    <w:rsid w:val="000D127F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88B"/>
    <w:rsid w:val="00143E67"/>
    <w:rsid w:val="001511E8"/>
    <w:rsid w:val="00151E40"/>
    <w:rsid w:val="00155DCA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82D2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340E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418DB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10152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2DB8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4680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4E9A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5BB2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033F"/>
    <w:rsid w:val="00A23B5B"/>
    <w:rsid w:val="00A2501D"/>
    <w:rsid w:val="00A26481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05E5"/>
    <w:rsid w:val="00A929BA"/>
    <w:rsid w:val="00A935CE"/>
    <w:rsid w:val="00AA029C"/>
    <w:rsid w:val="00AA046E"/>
    <w:rsid w:val="00AA3DDC"/>
    <w:rsid w:val="00AA576A"/>
    <w:rsid w:val="00AA5AF3"/>
    <w:rsid w:val="00AA670E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4382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74445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435B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010E"/>
    <w:rsid w:val="00D33E75"/>
    <w:rsid w:val="00D347A0"/>
    <w:rsid w:val="00D35D4D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0243"/>
    <w:rsid w:val="00DD2A44"/>
    <w:rsid w:val="00DF25C2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11B6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C059B"/>
    <w:rsid w:val="00EC14E4"/>
    <w:rsid w:val="00EC1E5B"/>
    <w:rsid w:val="00EC2528"/>
    <w:rsid w:val="00EC50F2"/>
    <w:rsid w:val="00ED53D5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235A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2E0F"/>
    <w:rsid w:val="00FC4229"/>
    <w:rsid w:val="00FC7CD8"/>
    <w:rsid w:val="00FD3392"/>
    <w:rsid w:val="00FD3DB3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9CC9E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C059B"/>
    <w:rPr>
      <w:sz w:val="24"/>
    </w:rPr>
  </w:style>
  <w:style w:type="paragraph" w:styleId="af">
    <w:name w:val="List"/>
    <w:basedOn w:val="a"/>
    <w:rsid w:val="0008486F"/>
    <w:pPr>
      <w:widowControl w:val="0"/>
      <w:ind w:left="283" w:hanging="283"/>
    </w:pPr>
    <w:rPr>
      <w:sz w:val="20"/>
    </w:rPr>
  </w:style>
  <w:style w:type="paragraph" w:styleId="af0">
    <w:name w:val="Balloon Text"/>
    <w:basedOn w:val="a"/>
    <w:link w:val="af1"/>
    <w:rsid w:val="00D3010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D30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2822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667C-E88A-4C1E-8C50-F198E433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2026-01-13T13:21:00Z</cp:lastPrinted>
  <dcterms:created xsi:type="dcterms:W3CDTF">2026-01-20T05:58:00Z</dcterms:created>
  <dcterms:modified xsi:type="dcterms:W3CDTF">2026-01-20T05:58:00Z</dcterms:modified>
</cp:coreProperties>
</file>