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E8290F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E0A39">
        <w:rPr>
          <w:sz w:val="28"/>
          <w:szCs w:val="28"/>
          <w:u w:val="single"/>
        </w:rPr>
        <w:t>29.07.2025г.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EE0A39">
        <w:rPr>
          <w:sz w:val="28"/>
          <w:szCs w:val="28"/>
        </w:rPr>
        <w:t xml:space="preserve"> 606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Ind w:w="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  <w:gridCol w:w="278"/>
      </w:tblGrid>
      <w:tr w:rsidR="0023270B" w:rsidTr="0023270B">
        <w:tc>
          <w:tcPr>
            <w:tcW w:w="9275" w:type="dxa"/>
          </w:tcPr>
          <w:p w:rsidR="0023270B" w:rsidRPr="0023270B" w:rsidRDefault="0023270B" w:rsidP="0023270B">
            <w:pPr>
              <w:spacing w:after="34" w:line="253" w:lineRule="auto"/>
              <w:ind w:left="76" w:right="4999" w:firstLine="10"/>
              <w:jc w:val="both"/>
              <w:rPr>
                <w:color w:val="000000"/>
                <w:sz w:val="28"/>
                <w:szCs w:val="28"/>
              </w:rPr>
            </w:pPr>
            <w:r w:rsidRPr="00390187">
              <w:rPr>
                <w:color w:val="000000"/>
                <w:sz w:val="28"/>
              </w:rPr>
              <w:t xml:space="preserve">Об утверждении Правил </w:t>
            </w:r>
            <w:bookmarkStart w:id="0" w:name="_Hlk204606879"/>
            <w:r w:rsidRPr="00390187">
              <w:rPr>
                <w:color w:val="000000"/>
                <w:sz w:val="28"/>
              </w:rPr>
              <w:t xml:space="preserve">принятия решений о списании объектов незавершенного строительства или </w:t>
            </w:r>
            <w:r w:rsidRPr="00390187">
              <w:rPr>
                <w:color w:val="000000"/>
                <w:sz w:val="28"/>
                <w:szCs w:val="28"/>
              </w:rPr>
              <w:t>затрат,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0187">
              <w:rPr>
                <w:color w:val="000000"/>
                <w:sz w:val="28"/>
                <w:szCs w:val="28"/>
              </w:rPr>
              <w:t>понесенных на незавершенное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0187">
              <w:rPr>
                <w:color w:val="000000"/>
                <w:sz w:val="28"/>
                <w:szCs w:val="28"/>
              </w:rPr>
              <w:t>строительство объектов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0187">
              <w:rPr>
                <w:color w:val="000000"/>
                <w:sz w:val="28"/>
                <w:szCs w:val="28"/>
              </w:rPr>
              <w:t>капитального строительства муниципальной собственности муниципального образования «</w:t>
            </w:r>
            <w:proofErr w:type="spellStart"/>
            <w:r w:rsidRPr="003901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390187">
              <w:rPr>
                <w:color w:val="000000"/>
                <w:sz w:val="28"/>
                <w:szCs w:val="28"/>
              </w:rPr>
              <w:t xml:space="preserve"> муниципальный округ»</w:t>
            </w:r>
            <w:r w:rsidR="00E8290F">
              <w:rPr>
                <w:color w:val="000000"/>
                <w:sz w:val="28"/>
                <w:szCs w:val="28"/>
              </w:rPr>
              <w:t xml:space="preserve"> Смоленской области</w:t>
            </w:r>
            <w:r w:rsidRPr="00390187">
              <w:rPr>
                <w:color w:val="000000"/>
                <w:sz w:val="28"/>
                <w:szCs w:val="28"/>
              </w:rPr>
              <w:t>, финансовое</w:t>
            </w:r>
            <w:r w:rsidR="00E8290F">
              <w:rPr>
                <w:color w:val="000000"/>
                <w:sz w:val="28"/>
                <w:szCs w:val="28"/>
              </w:rPr>
              <w:t xml:space="preserve"> </w:t>
            </w:r>
            <w:r w:rsidRPr="00390187">
              <w:rPr>
                <w:color w:val="000000"/>
                <w:sz w:val="28"/>
                <w:szCs w:val="28"/>
              </w:rPr>
              <w:t>обеспечение которых осуществлялось за счет средств областного бюджета</w:t>
            </w:r>
            <w:bookmarkEnd w:id="0"/>
          </w:p>
        </w:tc>
        <w:tc>
          <w:tcPr>
            <w:tcW w:w="278" w:type="dxa"/>
          </w:tcPr>
          <w:p w:rsidR="0023270B" w:rsidRDefault="0023270B" w:rsidP="0023270B">
            <w:pPr>
              <w:spacing w:after="34" w:line="252" w:lineRule="auto"/>
              <w:ind w:right="4999"/>
              <w:jc w:val="both"/>
              <w:rPr>
                <w:color w:val="000000"/>
                <w:sz w:val="28"/>
                <w:szCs w:val="22"/>
              </w:rPr>
            </w:pPr>
          </w:p>
        </w:tc>
      </w:tr>
    </w:tbl>
    <w:p w:rsidR="0023270B" w:rsidRDefault="0023270B" w:rsidP="0023270B">
      <w:pPr>
        <w:spacing w:after="34" w:line="252" w:lineRule="auto"/>
        <w:ind w:right="4999"/>
        <w:jc w:val="both"/>
        <w:rPr>
          <w:color w:val="000000"/>
          <w:sz w:val="28"/>
          <w:szCs w:val="22"/>
        </w:rPr>
      </w:pPr>
    </w:p>
    <w:p w:rsidR="0023270B" w:rsidRDefault="0023270B" w:rsidP="00327E0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соответствии с пунктом 3 постановления Правительства Российской Федерации от 07.09.2021 N2 1517 «О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бюджета»</w:t>
      </w:r>
    </w:p>
    <w:p w:rsidR="0023270B" w:rsidRDefault="0023270B" w:rsidP="00327E0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Администрация </w:t>
      </w:r>
      <w:bookmarkStart w:id="1" w:name="_Hlk204604490"/>
      <w:r>
        <w:rPr>
          <w:color w:val="000000"/>
          <w:sz w:val="28"/>
        </w:rPr>
        <w:t>муниципального образования «</w:t>
      </w:r>
      <w:proofErr w:type="spellStart"/>
      <w:r>
        <w:rPr>
          <w:color w:val="000000"/>
          <w:sz w:val="28"/>
        </w:rPr>
        <w:t>Шумячский</w:t>
      </w:r>
      <w:proofErr w:type="spellEnd"/>
      <w:r>
        <w:rPr>
          <w:color w:val="000000"/>
          <w:sz w:val="28"/>
        </w:rPr>
        <w:t xml:space="preserve"> муниципальный округ» Смоленской области</w:t>
      </w:r>
      <w:bookmarkEnd w:id="1"/>
    </w:p>
    <w:p w:rsidR="0023270B" w:rsidRDefault="0023270B" w:rsidP="0023270B">
      <w:pPr>
        <w:ind w:firstLine="709"/>
        <w:jc w:val="both"/>
        <w:rPr>
          <w:color w:val="000000"/>
          <w:sz w:val="28"/>
        </w:rPr>
      </w:pPr>
    </w:p>
    <w:p w:rsidR="0023270B" w:rsidRDefault="0023270B" w:rsidP="0023270B">
      <w:pPr>
        <w:spacing w:line="252" w:lineRule="auto"/>
        <w:ind w:firstLine="720"/>
        <w:rPr>
          <w:color w:val="000000"/>
          <w:sz w:val="28"/>
        </w:rPr>
      </w:pPr>
      <w:r>
        <w:rPr>
          <w:color w:val="000000"/>
          <w:sz w:val="28"/>
        </w:rPr>
        <w:t xml:space="preserve">П О С Т А Н О В Л Я Е Т: </w:t>
      </w:r>
    </w:p>
    <w:p w:rsidR="0023270B" w:rsidRDefault="0023270B" w:rsidP="0023270B">
      <w:pPr>
        <w:spacing w:line="252" w:lineRule="auto"/>
        <w:ind w:firstLine="720"/>
        <w:rPr>
          <w:color w:val="000000"/>
          <w:sz w:val="28"/>
        </w:rPr>
      </w:pPr>
    </w:p>
    <w:p w:rsidR="0023270B" w:rsidRDefault="0023270B" w:rsidP="00E14685">
      <w:pPr>
        <w:pStyle w:val="afffa"/>
        <w:numPr>
          <w:ilvl w:val="0"/>
          <w:numId w:val="28"/>
        </w:numPr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Утвердить прилагаемые Правила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</w:t>
      </w:r>
      <w:proofErr w:type="spellStart"/>
      <w:r>
        <w:rPr>
          <w:color w:val="000000"/>
          <w:sz w:val="28"/>
        </w:rPr>
        <w:t>Шумячский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>муниципальный округ» Смоленской области, финансовое обеспечение которых осуществлялось за счет средств областного бюджета.</w:t>
      </w:r>
    </w:p>
    <w:p w:rsidR="0023270B" w:rsidRPr="00E14685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23270B" w:rsidRPr="00E14685">
        <w:rPr>
          <w:color w:val="000000"/>
          <w:sz w:val="28"/>
        </w:rPr>
        <w:t xml:space="preserve">Создать комиссию </w:t>
      </w:r>
      <w:bookmarkStart w:id="2" w:name="_Hlk204607095"/>
      <w:r w:rsidR="0023270B" w:rsidRPr="00E14685">
        <w:rPr>
          <w:color w:val="000000"/>
          <w:sz w:val="28"/>
        </w:rPr>
        <w:t>по принятию решений о списании объектов незавершенного строительства или затрат,</w:t>
      </w:r>
      <w:r w:rsidR="0023270B" w:rsidRPr="00E14685">
        <w:rPr>
          <w:color w:val="000000"/>
          <w:sz w:val="28"/>
        </w:rPr>
        <w:tab/>
        <w:t>понесенных на незавершенное</w:t>
      </w:r>
      <w:r>
        <w:rPr>
          <w:color w:val="000000"/>
          <w:sz w:val="28"/>
        </w:rPr>
        <w:t xml:space="preserve"> </w:t>
      </w:r>
      <w:r w:rsidR="0023270B" w:rsidRPr="00E14685">
        <w:rPr>
          <w:color w:val="000000"/>
          <w:sz w:val="28"/>
        </w:rPr>
        <w:t>строительство объектов</w:t>
      </w:r>
      <w:r w:rsidR="0023270B" w:rsidRPr="00E14685">
        <w:rPr>
          <w:color w:val="000000"/>
          <w:sz w:val="28"/>
        </w:rPr>
        <w:tab/>
        <w:t>капитального строительства муниципальной собственности муниципального образования «</w:t>
      </w:r>
      <w:proofErr w:type="spellStart"/>
      <w:r w:rsidR="0023270B" w:rsidRPr="00E14685">
        <w:rPr>
          <w:color w:val="000000"/>
          <w:sz w:val="28"/>
        </w:rPr>
        <w:t>Шумячский</w:t>
      </w:r>
      <w:proofErr w:type="spellEnd"/>
      <w:r w:rsidR="0023270B" w:rsidRPr="00E14685">
        <w:rPr>
          <w:color w:val="000000"/>
          <w:sz w:val="28"/>
        </w:rPr>
        <w:t xml:space="preserve"> муниципальный округ», финансовое обеспечение которых осуществлялось за счет средств областного бюджета </w:t>
      </w:r>
      <w:bookmarkEnd w:id="2"/>
      <w:r w:rsidR="0023270B" w:rsidRPr="00E14685">
        <w:rPr>
          <w:color w:val="000000"/>
          <w:sz w:val="28"/>
        </w:rPr>
        <w:t>(далее также -  комиссия) и утвердить ее состав согласно приложению.</w:t>
      </w:r>
    </w:p>
    <w:p w:rsidR="0023270B" w:rsidRDefault="0023270B" w:rsidP="0023270B">
      <w:pPr>
        <w:pStyle w:val="afffa"/>
        <w:spacing w:after="650" w:line="252" w:lineRule="auto"/>
        <w:ind w:left="734" w:right="14"/>
        <w:jc w:val="both"/>
        <w:rPr>
          <w:color w:val="000000"/>
          <w:sz w:val="28"/>
        </w:rPr>
      </w:pPr>
    </w:p>
    <w:p w:rsidR="0023270B" w:rsidRDefault="0023270B" w:rsidP="0023270B">
      <w:pPr>
        <w:pStyle w:val="afffa"/>
        <w:spacing w:after="650" w:line="252" w:lineRule="auto"/>
        <w:ind w:left="734" w:right="14"/>
        <w:jc w:val="both"/>
        <w:rPr>
          <w:color w:val="000000"/>
          <w:sz w:val="28"/>
        </w:rPr>
      </w:pPr>
    </w:p>
    <w:p w:rsidR="0023270B" w:rsidRDefault="0023270B" w:rsidP="0023270B">
      <w:pPr>
        <w:pStyle w:val="afffa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Глава муниципального образования</w:t>
      </w:r>
    </w:p>
    <w:p w:rsidR="0023270B" w:rsidRDefault="0023270B" w:rsidP="0023270B">
      <w:pPr>
        <w:pStyle w:val="afffa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proofErr w:type="spellStart"/>
      <w:r>
        <w:rPr>
          <w:color w:val="000000"/>
          <w:sz w:val="28"/>
        </w:rPr>
        <w:t>Шумячский</w:t>
      </w:r>
      <w:proofErr w:type="spellEnd"/>
      <w:r>
        <w:rPr>
          <w:color w:val="000000"/>
          <w:sz w:val="28"/>
        </w:rPr>
        <w:t xml:space="preserve"> муниципальный округ»</w:t>
      </w:r>
    </w:p>
    <w:p w:rsidR="0023270B" w:rsidRPr="0023270B" w:rsidRDefault="0023270B" w:rsidP="0023270B">
      <w:pPr>
        <w:pStyle w:val="afffa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Смоленской области                                                                              Д.А. Каменев</w:t>
      </w:r>
    </w:p>
    <w:p w:rsidR="0023270B" w:rsidRDefault="0023270B" w:rsidP="0023270B">
      <w:pPr>
        <w:spacing w:after="4" w:line="244" w:lineRule="auto"/>
        <w:ind w:left="6219" w:right="134"/>
        <w:jc w:val="both"/>
        <w:rPr>
          <w:color w:val="000000"/>
          <w:sz w:val="28"/>
        </w:rPr>
      </w:pPr>
    </w:p>
    <w:p w:rsidR="0023270B" w:rsidRDefault="0023270B" w:rsidP="0023270B">
      <w:pPr>
        <w:spacing w:after="4" w:line="244" w:lineRule="auto"/>
        <w:ind w:left="6219" w:right="134"/>
        <w:rPr>
          <w:color w:val="000000"/>
          <w:sz w:val="28"/>
        </w:rPr>
      </w:pPr>
    </w:p>
    <w:p w:rsidR="0023270B" w:rsidRDefault="0023270B" w:rsidP="0023270B">
      <w:pPr>
        <w:spacing w:after="4" w:line="244" w:lineRule="auto"/>
        <w:ind w:left="6219" w:right="134"/>
        <w:rPr>
          <w:color w:val="000000"/>
          <w:sz w:val="28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                         </w:t>
      </w: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23270B">
      <w:pPr>
        <w:spacing w:after="354" w:line="232" w:lineRule="auto"/>
        <w:ind w:left="1964" w:right="1830" w:firstLine="2545"/>
        <w:jc w:val="both"/>
        <w:rPr>
          <w:color w:val="000000"/>
          <w:sz w:val="30"/>
        </w:rPr>
      </w:pPr>
    </w:p>
    <w:p w:rsidR="0023270B" w:rsidRDefault="0023270B" w:rsidP="00D92F0E">
      <w:pPr>
        <w:spacing w:after="354" w:line="232" w:lineRule="auto"/>
        <w:ind w:right="1830"/>
        <w:jc w:val="both"/>
        <w:rPr>
          <w:color w:val="000000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23270B" w:rsidTr="00D92F0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3270B" w:rsidRDefault="0023270B">
            <w:pPr>
              <w:jc w:val="right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70B" w:rsidRDefault="0023270B" w:rsidP="0023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УТВЕРЖДЕНЫ          </w:t>
            </w:r>
          </w:p>
          <w:p w:rsidR="0023270B" w:rsidRDefault="0023270B" w:rsidP="00D92F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D92F0E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Администрации</w:t>
            </w:r>
          </w:p>
          <w:p w:rsidR="0023270B" w:rsidRDefault="0023270B">
            <w:pPr>
              <w:jc w:val="both"/>
              <w:rPr>
                <w:sz w:val="28"/>
                <w:szCs w:val="28"/>
              </w:rPr>
            </w:pPr>
            <w:bookmarkStart w:id="3" w:name="_Hlk204605024"/>
            <w:r>
              <w:rPr>
                <w:sz w:val="28"/>
                <w:szCs w:val="28"/>
              </w:rPr>
              <w:t xml:space="preserve">муниципального образования                                                      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spellStart"/>
            <w:proofErr w:type="gramEnd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                     округ» Смоленской области                                                                                                                                    </w:t>
            </w:r>
            <w:bookmarkEnd w:id="3"/>
            <w:r>
              <w:rPr>
                <w:sz w:val="28"/>
                <w:szCs w:val="28"/>
              </w:rPr>
              <w:t>от</w:t>
            </w:r>
            <w:r w:rsidR="00EE0A39">
              <w:rPr>
                <w:sz w:val="28"/>
                <w:szCs w:val="28"/>
              </w:rPr>
              <w:t xml:space="preserve"> </w:t>
            </w:r>
            <w:r w:rsidR="00EE0A39" w:rsidRPr="00EE0A39">
              <w:rPr>
                <w:sz w:val="28"/>
                <w:szCs w:val="28"/>
                <w:u w:val="single"/>
              </w:rPr>
              <w:t>29.07.2025г.</w:t>
            </w:r>
            <w:r>
              <w:rPr>
                <w:sz w:val="28"/>
                <w:szCs w:val="28"/>
              </w:rPr>
              <w:t xml:space="preserve"> №</w:t>
            </w:r>
            <w:r w:rsidR="00EE0A39">
              <w:rPr>
                <w:sz w:val="28"/>
                <w:szCs w:val="28"/>
              </w:rPr>
              <w:t xml:space="preserve"> 606</w:t>
            </w:r>
          </w:p>
        </w:tc>
      </w:tr>
    </w:tbl>
    <w:p w:rsidR="00D92F0E" w:rsidRDefault="00D92F0E" w:rsidP="00D92F0E">
      <w:pPr>
        <w:spacing w:after="354" w:line="232" w:lineRule="auto"/>
        <w:ind w:right="1830"/>
        <w:rPr>
          <w:color w:val="000000"/>
          <w:sz w:val="30"/>
          <w:szCs w:val="22"/>
        </w:rPr>
      </w:pPr>
    </w:p>
    <w:p w:rsidR="00EE6BED" w:rsidRPr="00EE6BED" w:rsidRDefault="0023270B" w:rsidP="00D92F0E">
      <w:pPr>
        <w:jc w:val="center"/>
        <w:rPr>
          <w:color w:val="000000"/>
          <w:sz w:val="28"/>
          <w:szCs w:val="28"/>
        </w:rPr>
      </w:pPr>
      <w:r w:rsidRPr="00EE6BED">
        <w:rPr>
          <w:color w:val="000000"/>
          <w:sz w:val="28"/>
          <w:szCs w:val="28"/>
        </w:rPr>
        <w:t xml:space="preserve">Правила </w:t>
      </w:r>
    </w:p>
    <w:p w:rsidR="0023270B" w:rsidRPr="00D92F0E" w:rsidRDefault="0023270B" w:rsidP="00D92F0E">
      <w:pPr>
        <w:jc w:val="center"/>
        <w:rPr>
          <w:color w:val="000000"/>
          <w:sz w:val="28"/>
          <w:szCs w:val="28"/>
        </w:rPr>
      </w:pPr>
      <w:r w:rsidRPr="00D92F0E">
        <w:rPr>
          <w:color w:val="000000"/>
          <w:sz w:val="28"/>
          <w:szCs w:val="28"/>
        </w:rPr>
        <w:t>принятия решений о списании объектов</w:t>
      </w:r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незавершенного строительства или</w:t>
      </w:r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затрат, понесенных на незавершенное</w:t>
      </w:r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строительство объектов капитального строительства муниципальной собственности</w:t>
      </w:r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D92F0E">
        <w:rPr>
          <w:color w:val="000000"/>
          <w:sz w:val="28"/>
          <w:szCs w:val="28"/>
        </w:rPr>
        <w:t>Шумячский</w:t>
      </w:r>
      <w:proofErr w:type="spellEnd"/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муниципальный округ» Смоленской области,</w:t>
      </w:r>
      <w:r w:rsidR="00D92F0E" w:rsidRPr="00D92F0E">
        <w:rPr>
          <w:color w:val="000000"/>
          <w:sz w:val="28"/>
          <w:szCs w:val="28"/>
        </w:rPr>
        <w:t xml:space="preserve"> </w:t>
      </w:r>
      <w:r w:rsidRPr="00D92F0E">
        <w:rPr>
          <w:color w:val="000000"/>
          <w:sz w:val="28"/>
          <w:szCs w:val="28"/>
        </w:rPr>
        <w:t>финансовое обеспечение которых осуществлялось за счет средств областного бюджета</w:t>
      </w:r>
    </w:p>
    <w:p w:rsidR="00D92F0E" w:rsidRDefault="00D92F0E" w:rsidP="00D92F0E">
      <w:pPr>
        <w:jc w:val="center"/>
        <w:rPr>
          <w:color w:val="000000"/>
          <w:sz w:val="30"/>
        </w:rPr>
      </w:pP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23270B">
        <w:rPr>
          <w:color w:val="000000"/>
          <w:sz w:val="28"/>
        </w:rPr>
        <w:t>Настоящие Правила устанавливают порядок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 муниципального образования «</w:t>
      </w:r>
      <w:proofErr w:type="spellStart"/>
      <w:r w:rsidR="0023270B">
        <w:rPr>
          <w:color w:val="000000"/>
          <w:sz w:val="28"/>
        </w:rPr>
        <w:t>Шумячский</w:t>
      </w:r>
      <w:proofErr w:type="spellEnd"/>
      <w:r w:rsidR="0023270B">
        <w:rPr>
          <w:color w:val="000000"/>
          <w:sz w:val="28"/>
        </w:rPr>
        <w:t xml:space="preserve"> муниципальный округ» Смоленской области финансовое обеспечение которых осуществлялось за счет средств областного бюджета.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23270B">
        <w:rPr>
          <w:color w:val="000000"/>
          <w:sz w:val="28"/>
        </w:rPr>
        <w:t>Решение о списании принимается в отношении: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объектов незавершенного строительства муниципальной собственности муниципального образования «</w:t>
      </w:r>
      <w:proofErr w:type="spellStart"/>
      <w:r w:rsidR="0023270B">
        <w:rPr>
          <w:color w:val="000000"/>
          <w:sz w:val="28"/>
        </w:rPr>
        <w:t>Шумячский</w:t>
      </w:r>
      <w:proofErr w:type="spellEnd"/>
      <w:r w:rsidR="0023270B">
        <w:rPr>
          <w:color w:val="000000"/>
          <w:sz w:val="28"/>
        </w:rPr>
        <w:t xml:space="preserve"> муниципальный округ» Смоленской области (далее — объекты незавершенного строительства);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затрат, понесенных на незавершенное строительство объектов капитального строите</w:t>
      </w:r>
      <w:r>
        <w:rPr>
          <w:color w:val="000000"/>
          <w:sz w:val="28"/>
        </w:rPr>
        <w:t>ль</w:t>
      </w:r>
      <w:r w:rsidR="0023270B">
        <w:rPr>
          <w:color w:val="000000"/>
          <w:sz w:val="28"/>
        </w:rPr>
        <w:t>ства муниципальной собственности муниципального образования</w:t>
      </w:r>
      <w:r>
        <w:rPr>
          <w:color w:val="000000"/>
          <w:sz w:val="28"/>
        </w:rPr>
        <w:t xml:space="preserve"> </w:t>
      </w:r>
      <w:r w:rsidR="0023270B">
        <w:rPr>
          <w:color w:val="000000"/>
          <w:sz w:val="28"/>
        </w:rPr>
        <w:t>«</w:t>
      </w:r>
      <w:proofErr w:type="spellStart"/>
      <w:r w:rsidR="0023270B">
        <w:rPr>
          <w:color w:val="000000"/>
          <w:sz w:val="28"/>
        </w:rPr>
        <w:t>Шумячский</w:t>
      </w:r>
      <w:proofErr w:type="spellEnd"/>
      <w:r w:rsidR="0023270B">
        <w:rPr>
          <w:color w:val="000000"/>
          <w:sz w:val="28"/>
        </w:rPr>
        <w:t xml:space="preserve"> муниципальный округ» Смоленской области, финансовое обеспечение которых осуществлялось за счет средств областного бюджета, включая затраты на проектные и (или) изыскательские работы (далее — затраты).</w:t>
      </w:r>
    </w:p>
    <w:p w:rsidR="0023270B" w:rsidRDefault="0023270B" w:rsidP="00D92F0E">
      <w:pPr>
        <w:ind w:firstLine="696"/>
        <w:jc w:val="both"/>
        <w:rPr>
          <w:color w:val="000000"/>
          <w:sz w:val="28"/>
        </w:rPr>
      </w:pPr>
      <w:r>
        <w:rPr>
          <w:color w:val="000000"/>
          <w:sz w:val="28"/>
        </w:rPr>
        <w:t>З. Решение о списании объектов незавершенного строительства принимается в случае: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отсутствия оснований для приватизации объекта незавершенного строительства, предусмотренных федеральным и областным законодательством о приватизации муниципального имущества;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 xml:space="preserve">отказа федерального органа исполнительной власти или соответствующего органа местного самоуправления муниципального образования Смоленской области, в границах которого расположен объект незавершенного строительства, от безвозмездного принятия объекта незавершенного строительства; </w:t>
      </w:r>
      <w:r w:rsidR="0023270B">
        <w:rPr>
          <w:noProof/>
          <w:color w:val="000000"/>
          <w:sz w:val="28"/>
        </w:rPr>
        <w:drawing>
          <wp:inline distT="0" distB="0" distL="0" distR="0">
            <wp:extent cx="47625" cy="1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270B">
        <w:rPr>
          <w:color w:val="000000"/>
          <w:sz w:val="28"/>
        </w:rPr>
        <w:t xml:space="preserve"> утраты или уничтожения объектов незавершенного строительства в результате стихийных бедствий, пожаров, аварий, хищений;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сноса объектов незавершенного строительства в связи со строительством новых объектов;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</w:t>
      </w:r>
      <w:r w:rsidR="0023270B">
        <w:rPr>
          <w:color w:val="000000"/>
          <w:sz w:val="28"/>
        </w:rPr>
        <w:t>нахождения объектов незавершенного строительства в ветхом и аварийном состоянии.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</w:t>
      </w:r>
      <w:r w:rsidR="0023270B">
        <w:rPr>
          <w:color w:val="000000"/>
          <w:sz w:val="28"/>
        </w:rPr>
        <w:t>Списание объектов незавершенного строительства осуществляется в соответствии с Административный регламент исполнения Администрацией муниципального образования «</w:t>
      </w:r>
      <w:proofErr w:type="spellStart"/>
      <w:r w:rsidR="0023270B">
        <w:rPr>
          <w:color w:val="000000"/>
          <w:sz w:val="28"/>
        </w:rPr>
        <w:t>Шумячский</w:t>
      </w:r>
      <w:proofErr w:type="spellEnd"/>
      <w:r w:rsidR="0023270B">
        <w:rPr>
          <w:color w:val="000000"/>
          <w:sz w:val="28"/>
        </w:rPr>
        <w:t xml:space="preserve"> муниципальный округ» Смоленской области  функции «Согласование списания имущества, переданного в хозяйственное ведение муниципальным предприятиям, и имущества, переданного в оперативное управление муниципальным учреждениям </w:t>
      </w:r>
      <w:proofErr w:type="spellStart"/>
      <w:r w:rsidR="0023270B">
        <w:rPr>
          <w:color w:val="000000"/>
          <w:sz w:val="28"/>
        </w:rPr>
        <w:t>Шумячского</w:t>
      </w:r>
      <w:proofErr w:type="spellEnd"/>
      <w:r w:rsidR="0023270B">
        <w:rPr>
          <w:color w:val="000000"/>
          <w:sz w:val="28"/>
        </w:rPr>
        <w:t xml:space="preserve"> муниципального округа Смоленской области», утвержденным постановлением Администрация муниципального образования «</w:t>
      </w:r>
      <w:proofErr w:type="spellStart"/>
      <w:r w:rsidR="0023270B">
        <w:rPr>
          <w:color w:val="000000"/>
          <w:sz w:val="28"/>
        </w:rPr>
        <w:t>Шумячский</w:t>
      </w:r>
      <w:proofErr w:type="spellEnd"/>
      <w:r w:rsidR="0023270B">
        <w:rPr>
          <w:color w:val="000000"/>
          <w:sz w:val="28"/>
        </w:rPr>
        <w:t xml:space="preserve"> муниципальный округ» Смоленской области от 07.02.2025г. № 120.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</w:t>
      </w:r>
      <w:r w:rsidR="0023270B">
        <w:rPr>
          <w:color w:val="000000"/>
          <w:sz w:val="28"/>
        </w:rPr>
        <w:t>Решение о списании затрат принимается в случае, если: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вложения произведены в проектные и 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 или не признана экономически эффективной проектной документацией повторного использования;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отсутствуют основания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предусмотренные статьей 14 Федерального закона «О государственной регистрации недвижимости».</w:t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 </w:t>
      </w:r>
      <w:r w:rsidR="0023270B">
        <w:rPr>
          <w:color w:val="000000"/>
          <w:sz w:val="28"/>
        </w:rPr>
        <w:t>Решение о списании затрат принимается комиссией по принятию решений о списании затрат (далее — комиссия).</w:t>
      </w:r>
    </w:p>
    <w:p w:rsidR="0023270B" w:rsidRDefault="0023270B" w:rsidP="000C677B">
      <w:pPr>
        <w:spacing w:after="4" w:line="244" w:lineRule="auto"/>
        <w:ind w:right="82" w:firstLine="801"/>
        <w:jc w:val="both"/>
        <w:rPr>
          <w:color w:val="000000"/>
          <w:sz w:val="28"/>
        </w:rPr>
      </w:pPr>
      <w:r>
        <w:rPr>
          <w:color w:val="000000"/>
          <w:sz w:val="28"/>
        </w:rPr>
        <w:t>Комиссия формируется исполнительными органами Смоленской области, осуществляющими в соответствии с федеральным и областным законодательством функции главного распорядителя средств областного бюджета, за счет которых произведены затраты (далее — исполнительные органы).</w:t>
      </w:r>
      <w:r>
        <w:rPr>
          <w:noProof/>
          <w:color w:val="000000"/>
          <w:sz w:val="28"/>
        </w:rPr>
        <w:drawing>
          <wp:inline distT="0" distB="0" distL="0" distR="0">
            <wp:extent cx="9525" cy="38100"/>
            <wp:effectExtent l="0" t="0" r="285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70B" w:rsidRDefault="00D92F0E" w:rsidP="00D92F0E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 </w:t>
      </w:r>
      <w:r w:rsidR="0023270B">
        <w:rPr>
          <w:color w:val="000000"/>
          <w:sz w:val="28"/>
        </w:rPr>
        <w:t>Решение о списании затрат должно содержать следующие сведения:</w:t>
      </w:r>
    </w:p>
    <w:p w:rsidR="000C677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наименование исполнительного органа;</w:t>
      </w:r>
    </w:p>
    <w:p w:rsidR="000C677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наименование областного государственного бюджетного учреждения, подведомственного соответствующему исполнительному органу, на счетах бухгалтерского учета которого отражены затраты (далее — учреждение);</w:t>
      </w:r>
    </w:p>
    <w:p w:rsidR="0023270B" w:rsidRDefault="0023270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noProof/>
          <w:color w:val="000000"/>
          <w:sz w:val="28"/>
        </w:rPr>
        <w:drawing>
          <wp:inline distT="0" distB="0" distL="0" distR="0">
            <wp:extent cx="476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</w:rPr>
        <w:t xml:space="preserve"> общий размер произведенных затрат с выделением размера затрат, произведенных за счет средств областного бюджета, и распределение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 </w:t>
      </w:r>
    </w:p>
    <w:p w:rsidR="0023270B" w:rsidRDefault="000C677B" w:rsidP="000C677B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23270B">
        <w:rPr>
          <w:color w:val="000000"/>
          <w:sz w:val="28"/>
        </w:rPr>
        <w:t>период, в течение которого производились затраты.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 </w:t>
      </w:r>
      <w:r w:rsidR="0023270B">
        <w:rPr>
          <w:color w:val="000000"/>
          <w:sz w:val="28"/>
        </w:rPr>
        <w:t>Предложение о списании затрат подготавливается учреждением и направляется для рассмотрения в комиссию. Срок рассмотрения предложения о списании затрат не должен превышать 14 календарных дней со дня его поступления.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9. </w:t>
      </w:r>
      <w:r w:rsidR="0023270B">
        <w:rPr>
          <w:color w:val="000000"/>
          <w:sz w:val="28"/>
        </w:rPr>
        <w:t>Предложение о списании затрат должно содержать следующие сведения:</w:t>
      </w:r>
    </w:p>
    <w:p w:rsidR="0023270B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 w:rsidR="0023270B">
        <w:rPr>
          <w:color w:val="000000"/>
          <w:sz w:val="28"/>
        </w:rPr>
        <w:t>наименова</w:t>
      </w:r>
      <w:r w:rsidR="000C677B">
        <w:rPr>
          <w:color w:val="000000"/>
          <w:sz w:val="28"/>
        </w:rPr>
        <w:t>ни</w:t>
      </w:r>
      <w:r w:rsidR="0023270B">
        <w:rPr>
          <w:color w:val="000000"/>
          <w:sz w:val="28"/>
        </w:rPr>
        <w:t>е объекта, на создание которого произведены затраты;</w:t>
      </w:r>
    </w:p>
    <w:p w:rsidR="0023270B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 w:rsidR="0023270B">
        <w:rPr>
          <w:color w:val="000000"/>
          <w:sz w:val="28"/>
        </w:rPr>
        <w:t>общий размер затрат с выделением размера затрат, произведенных за счет средств областного бюджета, и распределение их по видам (проектные и (или) изыскательские работы, строительно-монтажные работы, приобретение оборудования, включенного в смету строительства объекта капитального строительства) (при наличии такой информации);</w:t>
      </w:r>
    </w:p>
    <w:p w:rsidR="0023270B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</w:t>
      </w:r>
      <w:r w:rsidR="0023270B">
        <w:rPr>
          <w:color w:val="000000"/>
          <w:sz w:val="28"/>
        </w:rPr>
        <w:t>год начала осуществления затрат;</w:t>
      </w:r>
    </w:p>
    <w:p w:rsidR="0023270B" w:rsidRDefault="00E14685" w:rsidP="00E14685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4) </w:t>
      </w:r>
      <w:r w:rsidR="0023270B">
        <w:rPr>
          <w:color w:val="000000"/>
          <w:sz w:val="28"/>
        </w:rPr>
        <w:t>обоснование невозможности и (или) нецелесообразности осуществления дальнейших затрат.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10. </w:t>
      </w:r>
      <w:r w:rsidR="0023270B">
        <w:rPr>
          <w:color w:val="000000"/>
          <w:sz w:val="28"/>
        </w:rPr>
        <w:t>К предложению о списании затрат прилагается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(КС-З), акты приемки законченного строительством объекта приемочной комиссией (КС-14), товарные накладные по форме N2 ТОРГ- 12), или указываются причины отсутствия.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11. </w:t>
      </w:r>
      <w:r w:rsidR="0023270B">
        <w:rPr>
          <w:color w:val="000000"/>
          <w:sz w:val="28"/>
        </w:rPr>
        <w:t>Комиссия рассматривает предложение о списании затрат и принимает решение о списании затрат или об отказе в списании затрат.</w:t>
      </w:r>
    </w:p>
    <w:p w:rsidR="0023270B" w:rsidRDefault="000C677B" w:rsidP="000C677B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12. </w:t>
      </w:r>
      <w:r w:rsidR="0023270B">
        <w:rPr>
          <w:color w:val="000000"/>
          <w:sz w:val="28"/>
        </w:rPr>
        <w:t>Решение об отказе в списания затрат принимается комиссией при наличии хотя бы одного из следующих оснований:</w:t>
      </w:r>
    </w:p>
    <w:p w:rsidR="0023270B" w:rsidRDefault="00E14685" w:rsidP="00E14685">
      <w:pPr>
        <w:keepNext/>
        <w:keepLines/>
        <w:ind w:firstLine="709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1) </w:t>
      </w:r>
      <w:r w:rsidR="0023270B">
        <w:rPr>
          <w:color w:val="000000"/>
          <w:sz w:val="28"/>
        </w:rPr>
        <w:t>отсутствие случаев, предусмотренных пунктом 5 настоящих Правил;</w:t>
      </w:r>
    </w:p>
    <w:p w:rsidR="0023270B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2)</w:t>
      </w:r>
      <w:r w:rsidR="0023270B">
        <w:rPr>
          <w:color w:val="000000"/>
          <w:sz w:val="28"/>
        </w:rPr>
        <w:t xml:space="preserve"> отсутствие сведений и (или) документов, указанных в подпунктах 2 — 4 пункта 9 и пункте 10 </w:t>
      </w:r>
      <w:r w:rsidR="0023270B">
        <w:rPr>
          <w:noProof/>
          <w:color w:val="000000"/>
          <w:sz w:val="28"/>
        </w:rPr>
        <w:t xml:space="preserve">настоящих </w:t>
      </w:r>
      <w:r w:rsidR="0023270B">
        <w:rPr>
          <w:color w:val="000000"/>
          <w:sz w:val="28"/>
        </w:rPr>
        <w:t>Правил.</w:t>
      </w:r>
    </w:p>
    <w:p w:rsidR="0023270B" w:rsidRDefault="00E14685" w:rsidP="00E14685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13. </w:t>
      </w:r>
      <w:r w:rsidR="0023270B">
        <w:rPr>
          <w:color w:val="000000"/>
          <w:sz w:val="28"/>
        </w:rPr>
        <w:t>Решение о списании затрат или об отказе в списании затрат с указанием причин отказа не позднее 7 календарных дней со дня рассмотрения предложения о списании затрат направляется комиссией в адрес учреждения.</w:t>
      </w:r>
    </w:p>
    <w:p w:rsidR="0023270B" w:rsidRDefault="0023270B" w:rsidP="0023270B">
      <w:pPr>
        <w:spacing w:after="4" w:line="244" w:lineRule="auto"/>
        <w:ind w:left="105" w:firstLine="696"/>
        <w:jc w:val="both"/>
        <w:rPr>
          <w:sz w:val="28"/>
        </w:rPr>
      </w:pPr>
      <w:r>
        <w:rPr>
          <w:color w:val="000000"/>
          <w:sz w:val="28"/>
        </w:rPr>
        <w:t xml:space="preserve">Решение о списании затрат принимается </w:t>
      </w:r>
      <w:r>
        <w:rPr>
          <w:sz w:val="28"/>
        </w:rPr>
        <w:t>распоряжением Администрации муниципального образования 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 Смоленской области.</w:t>
      </w:r>
    </w:p>
    <w:p w:rsidR="0023270B" w:rsidRDefault="0023270B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В случае отказа в списании затрат по основании, указанным в подпункте 2 пункта 12 настоящих Правил, учреждение вправе повторно обратиться в комиссию с предложением о списании затрат после устранения основания, послужившего причиной отказа.</w:t>
      </w: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D92F0E" w:rsidRDefault="00D92F0E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0C677B" w:rsidRDefault="000C677B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0C677B" w:rsidRDefault="000C677B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0C677B" w:rsidRDefault="000C677B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E14685" w:rsidRDefault="00E14685" w:rsidP="0023270B">
      <w:pPr>
        <w:spacing w:after="4" w:line="244" w:lineRule="auto"/>
        <w:ind w:left="105" w:firstLine="696"/>
        <w:jc w:val="both"/>
        <w:rPr>
          <w:color w:val="000000"/>
          <w:sz w:val="28"/>
        </w:rPr>
      </w:pPr>
    </w:p>
    <w:p w:rsidR="0023270B" w:rsidRDefault="0023270B" w:rsidP="0023270B">
      <w:pPr>
        <w:rPr>
          <w:rFonts w:asciiTheme="minorHAnsi" w:eastAsiaTheme="minorHAnsi" w:hAnsiTheme="minorHAnsi" w:cstheme="minorBidi"/>
          <w:sz w:val="22"/>
          <w:lang w:eastAsia="en-US"/>
        </w:rPr>
      </w:pPr>
    </w:p>
    <w:p w:rsidR="00E14685" w:rsidRDefault="0023270B" w:rsidP="00E14685">
      <w:pPr>
        <w:autoSpaceDE w:val="0"/>
        <w:autoSpaceDN w:val="0"/>
        <w:adjustRightInd w:val="0"/>
        <w:outlineLvl w:val="0"/>
        <w:rPr>
          <w:szCs w:val="24"/>
        </w:rPr>
      </w:pPr>
      <w:r>
        <w:rPr>
          <w:szCs w:val="24"/>
        </w:rPr>
        <w:lastRenderedPageBreak/>
        <w:t xml:space="preserve">                              </w:t>
      </w: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14685" w:rsidTr="00E14685">
        <w:tc>
          <w:tcPr>
            <w:tcW w:w="4814" w:type="dxa"/>
          </w:tcPr>
          <w:p w:rsidR="00E14685" w:rsidRDefault="00E14685" w:rsidP="00E14685">
            <w:pPr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4815" w:type="dxa"/>
          </w:tcPr>
          <w:p w:rsidR="00E14685" w:rsidRPr="00E14685" w:rsidRDefault="00E14685" w:rsidP="00E1468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E14685">
              <w:rPr>
                <w:sz w:val="28"/>
                <w:szCs w:val="28"/>
              </w:rPr>
              <w:t>Приложение</w:t>
            </w:r>
          </w:p>
          <w:p w:rsidR="00E14685" w:rsidRPr="00E14685" w:rsidRDefault="00E14685" w:rsidP="00E1468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E14685">
              <w:rPr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E14685">
              <w:rPr>
                <w:sz w:val="28"/>
                <w:szCs w:val="28"/>
              </w:rPr>
              <w:t>Шумячский</w:t>
            </w:r>
            <w:proofErr w:type="spellEnd"/>
            <w:r w:rsidRPr="00E14685">
              <w:rPr>
                <w:sz w:val="28"/>
                <w:szCs w:val="28"/>
              </w:rPr>
              <w:t xml:space="preserve"> муниципальный округ» Смоленской области от</w:t>
            </w:r>
            <w:r w:rsidR="00EE0A39">
              <w:rPr>
                <w:sz w:val="28"/>
                <w:szCs w:val="28"/>
              </w:rPr>
              <w:t xml:space="preserve"> </w:t>
            </w:r>
            <w:r w:rsidR="00EE0A39" w:rsidRPr="00EE0A39">
              <w:rPr>
                <w:sz w:val="28"/>
                <w:szCs w:val="28"/>
                <w:u w:val="single"/>
              </w:rPr>
              <w:t>29.07.2025г.</w:t>
            </w:r>
            <w:r w:rsidR="00EE0A39">
              <w:rPr>
                <w:sz w:val="28"/>
                <w:szCs w:val="28"/>
              </w:rPr>
              <w:t xml:space="preserve">  </w:t>
            </w:r>
            <w:r w:rsidRPr="00E14685">
              <w:rPr>
                <w:sz w:val="28"/>
                <w:szCs w:val="28"/>
              </w:rPr>
              <w:t>№</w:t>
            </w:r>
            <w:r w:rsidR="00EE0A39">
              <w:rPr>
                <w:sz w:val="28"/>
                <w:szCs w:val="28"/>
              </w:rPr>
              <w:t xml:space="preserve"> 606</w:t>
            </w:r>
          </w:p>
        </w:tc>
      </w:tr>
    </w:tbl>
    <w:p w:rsidR="0023270B" w:rsidRDefault="0023270B" w:rsidP="00E14685">
      <w:pPr>
        <w:autoSpaceDE w:val="0"/>
        <w:autoSpaceDN w:val="0"/>
        <w:adjustRightInd w:val="0"/>
        <w:outlineLvl w:val="0"/>
        <w:rPr>
          <w:szCs w:val="24"/>
        </w:rPr>
      </w:pPr>
    </w:p>
    <w:p w:rsidR="0023270B" w:rsidRDefault="0023270B" w:rsidP="0023270B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23270B" w:rsidRDefault="0023270B" w:rsidP="00327E0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СОСТАВ</w:t>
      </w:r>
    </w:p>
    <w:p w:rsidR="0023270B" w:rsidRPr="00327E09" w:rsidRDefault="0023270B" w:rsidP="00327E0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Cs/>
          <w:sz w:val="28"/>
          <w:szCs w:val="28"/>
        </w:rPr>
        <w:t xml:space="preserve">комиссии </w:t>
      </w:r>
      <w:r>
        <w:rPr>
          <w:color w:val="000000"/>
          <w:sz w:val="28"/>
        </w:rPr>
        <w:t>по принятию решений о списании объектов незавершенного строительства или затрат,</w:t>
      </w:r>
      <w:r w:rsidR="00327E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понесенных на незавершенное</w:t>
      </w:r>
      <w:r w:rsidR="00327E0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строительство объектов</w:t>
      </w:r>
      <w:r>
        <w:rPr>
          <w:color w:val="000000"/>
          <w:sz w:val="28"/>
        </w:rPr>
        <w:tab/>
        <w:t>капитального строительства муниципальной собственности муниципального образования «</w:t>
      </w:r>
      <w:proofErr w:type="spellStart"/>
      <w:r>
        <w:rPr>
          <w:color w:val="000000"/>
          <w:sz w:val="28"/>
        </w:rPr>
        <w:t>Шумячский</w:t>
      </w:r>
      <w:proofErr w:type="spellEnd"/>
      <w:r>
        <w:rPr>
          <w:color w:val="000000"/>
          <w:sz w:val="28"/>
        </w:rPr>
        <w:t xml:space="preserve"> муниципальный округ», финансовое обеспечение которых осуществлялось за счет средств областного бюджета</w:t>
      </w:r>
    </w:p>
    <w:tbl>
      <w:tblPr>
        <w:tblW w:w="9890" w:type="dxa"/>
        <w:tblInd w:w="250" w:type="dxa"/>
        <w:tblLook w:val="04A0" w:firstRow="1" w:lastRow="0" w:firstColumn="1" w:lastColumn="0" w:noHBand="0" w:noVBand="1"/>
      </w:tblPr>
      <w:tblGrid>
        <w:gridCol w:w="2978"/>
        <w:gridCol w:w="850"/>
        <w:gridCol w:w="6062"/>
      </w:tblGrid>
      <w:tr w:rsidR="0023270B" w:rsidTr="00E14685">
        <w:trPr>
          <w:trHeight w:val="80"/>
        </w:trPr>
        <w:tc>
          <w:tcPr>
            <w:tcW w:w="2978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3270B" w:rsidRDefault="0023270B" w:rsidP="00E14685">
      <w:pPr>
        <w:shd w:val="clear" w:color="auto" w:fill="FFFFFF"/>
        <w:autoSpaceDN w:val="0"/>
        <w:rPr>
          <w:color w:val="000000"/>
          <w:sz w:val="28"/>
          <w:szCs w:val="28"/>
        </w:rPr>
      </w:pPr>
    </w:p>
    <w:tbl>
      <w:tblPr>
        <w:tblW w:w="9815" w:type="dxa"/>
        <w:tblInd w:w="250" w:type="dxa"/>
        <w:tblLook w:val="04A0" w:firstRow="1" w:lastRow="0" w:firstColumn="1" w:lastColumn="0" w:noHBand="0" w:noVBand="1"/>
      </w:tblPr>
      <w:tblGrid>
        <w:gridCol w:w="2978"/>
        <w:gridCol w:w="850"/>
        <w:gridCol w:w="5987"/>
      </w:tblGrid>
      <w:tr w:rsidR="0023270B" w:rsidTr="00327E09">
        <w:tc>
          <w:tcPr>
            <w:tcW w:w="2978" w:type="dxa"/>
          </w:tcPr>
          <w:p w:rsidR="0023270B" w:rsidRDefault="0023270B" w:rsidP="00327E09">
            <w:pPr>
              <w:shd w:val="clear" w:color="auto" w:fill="FFFFFF"/>
              <w:autoSpaceDN w:val="0"/>
              <w:ind w:hanging="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Павлова </w:t>
            </w:r>
          </w:p>
          <w:p w:rsidR="0023270B" w:rsidRDefault="0023270B" w:rsidP="00327E09">
            <w:pPr>
              <w:shd w:val="clear" w:color="auto" w:fill="FFFFFF"/>
              <w:autoSpaceDN w:val="0"/>
              <w:ind w:hanging="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Владиславовна</w:t>
            </w:r>
          </w:p>
          <w:p w:rsidR="0023270B" w:rsidRDefault="0023270B">
            <w:pPr>
              <w:rPr>
                <w:color w:val="000000"/>
                <w:sz w:val="28"/>
                <w:szCs w:val="28"/>
              </w:rPr>
            </w:pP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E14685" w:rsidRDefault="00E14685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327E09" w:rsidRDefault="00327E09" w:rsidP="00327E09">
            <w:pPr>
              <w:shd w:val="clear" w:color="auto" w:fill="FFFFFF"/>
              <w:autoSpaceDN w:val="0"/>
              <w:ind w:hanging="76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 w:rsidP="00327E09">
            <w:pPr>
              <w:shd w:val="clear" w:color="auto" w:fill="FFFFFF"/>
              <w:autoSpaceDN w:val="0"/>
              <w:ind w:hanging="7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Старовойтов</w:t>
            </w:r>
          </w:p>
          <w:p w:rsidR="0023270B" w:rsidRDefault="0023270B" w:rsidP="00327E09">
            <w:pPr>
              <w:ind w:left="-1636" w:firstLine="15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Юрий Александрович</w:t>
            </w: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327E09" w:rsidRDefault="0023270B" w:rsidP="00327E09">
            <w:pPr>
              <w:shd w:val="clear" w:color="auto" w:fill="FFFFFF"/>
              <w:autoSpaceDN w:val="0"/>
              <w:ind w:right="3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146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начальник Финансового управления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председатель комиссии;</w:t>
            </w:r>
          </w:p>
          <w:p w:rsidR="00327E09" w:rsidRDefault="00327E09" w:rsidP="00327E09">
            <w:pPr>
              <w:shd w:val="clear" w:color="auto" w:fill="FFFFFF"/>
              <w:autoSpaceDN w:val="0"/>
              <w:ind w:right="396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 w:rsidP="00E14685">
            <w:pPr>
              <w:shd w:val="clear" w:color="auto" w:fill="FFFFFF"/>
              <w:autoSpaceDN w:val="0"/>
              <w:ind w:right="3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146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заместитель председателя комис</w:t>
            </w:r>
            <w:r w:rsidR="00327E09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ии;</w:t>
            </w: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3270B" w:rsidTr="00327E09">
        <w:tc>
          <w:tcPr>
            <w:tcW w:w="2978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3270B" w:rsidTr="00327E09">
        <w:tc>
          <w:tcPr>
            <w:tcW w:w="2978" w:type="dxa"/>
            <w:hideMark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Журкович</w:t>
            </w:r>
            <w:proofErr w:type="spellEnd"/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Инна Михайловна</w:t>
            </w: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23270B" w:rsidRDefault="0023270B" w:rsidP="00E14685">
            <w:pPr>
              <w:shd w:val="clear" w:color="auto" w:fill="FFFFFF"/>
              <w:autoSpaceDN w:val="0"/>
              <w:ind w:right="3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146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начальник Отдел бухгалтерского учета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район» Смоленской области, секретарь комиссии;</w:t>
            </w:r>
          </w:p>
        </w:tc>
      </w:tr>
      <w:tr w:rsidR="0023270B" w:rsidTr="00327E09">
        <w:tc>
          <w:tcPr>
            <w:tcW w:w="2978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3270B" w:rsidTr="00327E09">
        <w:tc>
          <w:tcPr>
            <w:tcW w:w="2978" w:type="dxa"/>
            <w:hideMark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Сташевская </w:t>
            </w:r>
          </w:p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Марина Михайловна</w:t>
            </w: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  <w:hideMark/>
          </w:tcPr>
          <w:p w:rsidR="0023270B" w:rsidRDefault="0023270B" w:rsidP="00E14685">
            <w:pPr>
              <w:shd w:val="clear" w:color="auto" w:fill="FFFFFF"/>
              <w:autoSpaceDN w:val="0"/>
              <w:ind w:right="39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146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</w:tc>
      </w:tr>
      <w:tr w:rsidR="0023270B" w:rsidTr="00327E09">
        <w:tc>
          <w:tcPr>
            <w:tcW w:w="2978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Малышкин</w:t>
            </w:r>
          </w:p>
          <w:p w:rsidR="0023270B" w:rsidRDefault="002327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850" w:type="dxa"/>
          </w:tcPr>
          <w:p w:rsidR="0023270B" w:rsidRDefault="0023270B">
            <w:pPr>
              <w:shd w:val="clear" w:color="auto" w:fill="FFFFFF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987" w:type="dxa"/>
          </w:tcPr>
          <w:p w:rsidR="0023270B" w:rsidRDefault="0023270B">
            <w:pPr>
              <w:shd w:val="clear" w:color="auto" w:fill="FFFFFF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  <w:p w:rsidR="0023270B" w:rsidRDefault="0023270B" w:rsidP="00327E09">
            <w:pPr>
              <w:shd w:val="clear" w:color="auto" w:fill="FFFFFF"/>
              <w:autoSpaceDN w:val="0"/>
              <w:ind w:right="32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1468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начальник Отдела по строительству, капитальному ремонту и жилищно-коммунальному хозяйству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23270B" w:rsidRDefault="0023270B" w:rsidP="0023270B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4" w:name="_GoBack"/>
      <w:bookmarkEnd w:id="4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327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5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6B" w:rsidRDefault="00BC496B">
      <w:r>
        <w:separator/>
      </w:r>
    </w:p>
  </w:endnote>
  <w:endnote w:type="continuationSeparator" w:id="0">
    <w:p w:rsidR="00BC496B" w:rsidRDefault="00BC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 w:rsidP="0023270B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6B" w:rsidRDefault="00BC496B">
      <w:r>
        <w:separator/>
      </w:r>
    </w:p>
  </w:footnote>
  <w:footnote w:type="continuationSeparator" w:id="0">
    <w:p w:rsidR="00BC496B" w:rsidRDefault="00BC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270B">
      <w:rPr>
        <w:rStyle w:val="a9"/>
        <w:noProof/>
      </w:rPr>
      <w:t>2</w:t>
    </w:r>
    <w:r>
      <w:rPr>
        <w:rStyle w:val="a9"/>
      </w:rPr>
      <w:fldChar w:fldCharType="end"/>
    </w:r>
  </w:p>
  <w:p w:rsidR="00890690" w:rsidRDefault="00890690">
    <w:pPr>
      <w:pStyle w:val="a5"/>
    </w:pPr>
  </w:p>
  <w:p w:rsidR="0023270B" w:rsidRDefault="0023270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140867"/>
      <w:docPartObj>
        <w:docPartGallery w:val="Page Numbers (Top of Page)"/>
        <w:docPartUnique/>
      </w:docPartObj>
    </w:sdtPr>
    <w:sdtEndPr/>
    <w:sdtContent>
      <w:p w:rsidR="00327E09" w:rsidRDefault="00327E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70B" w:rsidRDefault="0023270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060F2BD3"/>
    <w:multiLevelType w:val="hybridMultilevel"/>
    <w:tmpl w:val="03588DDE"/>
    <w:lvl w:ilvl="0" w:tplc="ECFAF3D0">
      <w:start w:val="4"/>
      <w:numFmt w:val="decimal"/>
      <w:lvlText w:val="%1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1DA6D40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20E06A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6A0D87C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76288E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03277B0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AE520A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A5AEDA4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FF6D8C4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068006A1"/>
    <w:multiLevelType w:val="hybridMultilevel"/>
    <w:tmpl w:val="E2486184"/>
    <w:lvl w:ilvl="0" w:tplc="7C1A7BAA">
      <w:start w:val="6"/>
      <w:numFmt w:val="decimal"/>
      <w:lvlText w:val="%1."/>
      <w:lvlJc w:val="left"/>
      <w:pPr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2830A6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4DCBB46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23A628A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1F2EE20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7184A68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E3A7E84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F3C6E4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67A1B8A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EF57E93"/>
    <w:multiLevelType w:val="hybridMultilevel"/>
    <w:tmpl w:val="628C15A6"/>
    <w:lvl w:ilvl="0" w:tplc="E1DEB5BE">
      <w:start w:val="13"/>
      <w:numFmt w:val="decimal"/>
      <w:lvlText w:val="%1.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5F82EFE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D8CC88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8381754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1DCF074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6F0160C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068D42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368E774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9A021D8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150D5836"/>
    <w:multiLevelType w:val="hybridMultilevel"/>
    <w:tmpl w:val="63D0813E"/>
    <w:lvl w:ilvl="0" w:tplc="885A6104">
      <w:start w:val="1"/>
      <w:numFmt w:val="decimal"/>
      <w:lvlText w:val="%1."/>
      <w:lvlJc w:val="left"/>
      <w:pPr>
        <w:ind w:left="1214" w:hanging="480"/>
      </w:pPr>
    </w:lvl>
    <w:lvl w:ilvl="1" w:tplc="04190019">
      <w:start w:val="1"/>
      <w:numFmt w:val="lowerLetter"/>
      <w:lvlText w:val="%2."/>
      <w:lvlJc w:val="left"/>
      <w:pPr>
        <w:ind w:left="1814" w:hanging="360"/>
      </w:pPr>
    </w:lvl>
    <w:lvl w:ilvl="2" w:tplc="0419001B">
      <w:start w:val="1"/>
      <w:numFmt w:val="lowerRoman"/>
      <w:lvlText w:val="%3."/>
      <w:lvlJc w:val="right"/>
      <w:pPr>
        <w:ind w:left="2534" w:hanging="180"/>
      </w:pPr>
    </w:lvl>
    <w:lvl w:ilvl="3" w:tplc="0419000F">
      <w:start w:val="1"/>
      <w:numFmt w:val="decimal"/>
      <w:lvlText w:val="%4."/>
      <w:lvlJc w:val="left"/>
      <w:pPr>
        <w:ind w:left="3254" w:hanging="360"/>
      </w:pPr>
    </w:lvl>
    <w:lvl w:ilvl="4" w:tplc="04190019">
      <w:start w:val="1"/>
      <w:numFmt w:val="lowerLetter"/>
      <w:lvlText w:val="%5."/>
      <w:lvlJc w:val="left"/>
      <w:pPr>
        <w:ind w:left="3974" w:hanging="360"/>
      </w:pPr>
    </w:lvl>
    <w:lvl w:ilvl="5" w:tplc="0419001B">
      <w:start w:val="1"/>
      <w:numFmt w:val="lowerRoman"/>
      <w:lvlText w:val="%6."/>
      <w:lvlJc w:val="right"/>
      <w:pPr>
        <w:ind w:left="4694" w:hanging="180"/>
      </w:pPr>
    </w:lvl>
    <w:lvl w:ilvl="6" w:tplc="0419000F">
      <w:start w:val="1"/>
      <w:numFmt w:val="decimal"/>
      <w:lvlText w:val="%7."/>
      <w:lvlJc w:val="left"/>
      <w:pPr>
        <w:ind w:left="5414" w:hanging="360"/>
      </w:pPr>
    </w:lvl>
    <w:lvl w:ilvl="7" w:tplc="04190019">
      <w:start w:val="1"/>
      <w:numFmt w:val="lowerLetter"/>
      <w:lvlText w:val="%8."/>
      <w:lvlJc w:val="left"/>
      <w:pPr>
        <w:ind w:left="6134" w:hanging="360"/>
      </w:pPr>
    </w:lvl>
    <w:lvl w:ilvl="8" w:tplc="0419001B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17873"/>
    <w:multiLevelType w:val="hybridMultilevel"/>
    <w:tmpl w:val="5B7296F8"/>
    <w:lvl w:ilvl="0" w:tplc="5176B340">
      <w:start w:val="1"/>
      <w:numFmt w:val="bullet"/>
      <w:lvlText w:val="-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B2ACFD6">
      <w:start w:val="1"/>
      <w:numFmt w:val="bullet"/>
      <w:lvlText w:val="o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F6DE60BA">
      <w:start w:val="1"/>
      <w:numFmt w:val="bullet"/>
      <w:lvlText w:val="▪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C487C82">
      <w:start w:val="1"/>
      <w:numFmt w:val="bullet"/>
      <w:lvlText w:val="•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2288828">
      <w:start w:val="1"/>
      <w:numFmt w:val="bullet"/>
      <w:lvlText w:val="o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C77C9CD4">
      <w:start w:val="1"/>
      <w:numFmt w:val="bullet"/>
      <w:lvlText w:val="▪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1A1A9E44">
      <w:start w:val="1"/>
      <w:numFmt w:val="bullet"/>
      <w:lvlText w:val="•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093A78C8">
      <w:start w:val="1"/>
      <w:numFmt w:val="bullet"/>
      <w:lvlText w:val="o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F04E9852">
      <w:start w:val="1"/>
      <w:numFmt w:val="bullet"/>
      <w:lvlText w:val="▪"/>
      <w:lvlJc w:val="left"/>
      <w:pPr>
        <w:ind w:left="6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2A8912EF"/>
    <w:multiLevelType w:val="hybridMultilevel"/>
    <w:tmpl w:val="F8D81B50"/>
    <w:lvl w:ilvl="0" w:tplc="26DE9998">
      <w:start w:val="1"/>
      <w:numFmt w:val="bullet"/>
      <w:lvlText w:val="-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D116B9F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B754A932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831A1FE6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449C78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244BB7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22EE26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429A82B0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3C8F4FC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37A187F"/>
    <w:multiLevelType w:val="hybridMultilevel"/>
    <w:tmpl w:val="0D8CF190"/>
    <w:lvl w:ilvl="0" w:tplc="C3A8AFD6">
      <w:start w:val="1"/>
      <w:numFmt w:val="decimal"/>
      <w:lvlText w:val="%1."/>
      <w:lvlJc w:val="left"/>
      <w:pPr>
        <w:ind w:left="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B564542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5CAC62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0F6E844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8301858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9E0D0C0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A745308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E9E6AA08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BD8ACF8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1F2E2E"/>
    <w:multiLevelType w:val="hybridMultilevel"/>
    <w:tmpl w:val="C9D0AA5E"/>
    <w:lvl w:ilvl="0" w:tplc="4BCC5DBC">
      <w:start w:val="10"/>
      <w:numFmt w:val="decimal"/>
      <w:lvlText w:val="%1."/>
      <w:lvlJc w:val="left"/>
      <w:pPr>
        <w:ind w:left="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6E02252">
      <w:start w:val="1"/>
      <w:numFmt w:val="lowerLetter"/>
      <w:lvlText w:val="%2"/>
      <w:lvlJc w:val="left"/>
      <w:pPr>
        <w:ind w:left="1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0B86A66">
      <w:start w:val="1"/>
      <w:numFmt w:val="lowerRoman"/>
      <w:lvlText w:val="%3"/>
      <w:lvlJc w:val="left"/>
      <w:pPr>
        <w:ind w:left="25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DA40BC2">
      <w:start w:val="1"/>
      <w:numFmt w:val="decimal"/>
      <w:lvlText w:val="%4"/>
      <w:lvlJc w:val="left"/>
      <w:pPr>
        <w:ind w:left="3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28A11AE">
      <w:start w:val="1"/>
      <w:numFmt w:val="lowerLetter"/>
      <w:lvlText w:val="%5"/>
      <w:lvlJc w:val="left"/>
      <w:pPr>
        <w:ind w:left="39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A8EA3E">
      <w:start w:val="1"/>
      <w:numFmt w:val="lowerRoman"/>
      <w:lvlText w:val="%6"/>
      <w:lvlJc w:val="left"/>
      <w:pPr>
        <w:ind w:left="4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F244D86">
      <w:start w:val="1"/>
      <w:numFmt w:val="decimal"/>
      <w:lvlText w:val="%7"/>
      <w:lvlJc w:val="left"/>
      <w:pPr>
        <w:ind w:left="5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5421702">
      <w:start w:val="1"/>
      <w:numFmt w:val="lowerLetter"/>
      <w:lvlText w:val="%8"/>
      <w:lvlJc w:val="left"/>
      <w:pPr>
        <w:ind w:left="6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8CF950">
      <w:start w:val="1"/>
      <w:numFmt w:val="lowerRoman"/>
      <w:lvlText w:val="%9"/>
      <w:lvlJc w:val="left"/>
      <w:pPr>
        <w:ind w:left="6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0C13A7"/>
    <w:multiLevelType w:val="hybridMultilevel"/>
    <w:tmpl w:val="2214C488"/>
    <w:lvl w:ilvl="0" w:tplc="422CFB80">
      <w:start w:val="8"/>
      <w:numFmt w:val="decimal"/>
      <w:lvlText w:val="%1."/>
      <w:lvlJc w:val="left"/>
      <w:pPr>
        <w:ind w:left="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B88E45A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BC827E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0108BF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7AA1D0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003424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56AD0A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DFA990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B64707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FF725E7"/>
    <w:multiLevelType w:val="hybridMultilevel"/>
    <w:tmpl w:val="9B266B26"/>
    <w:lvl w:ilvl="0" w:tplc="EC841320">
      <w:start w:val="1"/>
      <w:numFmt w:val="decimal"/>
      <w:lvlText w:val="%1)"/>
      <w:lvlJc w:val="left"/>
      <w:pPr>
        <w:ind w:left="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F205484">
      <w:start w:val="1"/>
      <w:numFmt w:val="lowerLetter"/>
      <w:lvlText w:val="%2"/>
      <w:lvlJc w:val="left"/>
      <w:pPr>
        <w:ind w:left="1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0B89102">
      <w:start w:val="1"/>
      <w:numFmt w:val="lowerRoman"/>
      <w:lvlText w:val="%3"/>
      <w:lvlJc w:val="left"/>
      <w:pPr>
        <w:ind w:left="2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7066240">
      <w:start w:val="1"/>
      <w:numFmt w:val="decimal"/>
      <w:lvlText w:val="%4"/>
      <w:lvlJc w:val="left"/>
      <w:pPr>
        <w:ind w:left="3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06CB7A2">
      <w:start w:val="1"/>
      <w:numFmt w:val="lowerLetter"/>
      <w:lvlText w:val="%5"/>
      <w:lvlJc w:val="left"/>
      <w:pPr>
        <w:ind w:left="3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B015AC">
      <w:start w:val="1"/>
      <w:numFmt w:val="lowerRoman"/>
      <w:lvlText w:val="%6"/>
      <w:lvlJc w:val="left"/>
      <w:pPr>
        <w:ind w:left="4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1C543E">
      <w:start w:val="1"/>
      <w:numFmt w:val="decimal"/>
      <w:lvlText w:val="%7"/>
      <w:lvlJc w:val="left"/>
      <w:pPr>
        <w:ind w:left="5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DCE442C">
      <w:start w:val="1"/>
      <w:numFmt w:val="lowerLetter"/>
      <w:lvlText w:val="%8"/>
      <w:lvlJc w:val="left"/>
      <w:pPr>
        <w:ind w:left="6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808BF9E">
      <w:start w:val="1"/>
      <w:numFmt w:val="lowerRoman"/>
      <w:lvlText w:val="%9"/>
      <w:lvlJc w:val="left"/>
      <w:pPr>
        <w:ind w:left="6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1"/>
  </w:num>
  <w:num w:numId="13">
    <w:abstractNumId w:val="12"/>
  </w:num>
  <w:num w:numId="14">
    <w:abstractNumId w:val="34"/>
  </w:num>
  <w:num w:numId="15">
    <w:abstractNumId w:val="22"/>
  </w:num>
  <w:num w:numId="16">
    <w:abstractNumId w:val="23"/>
  </w:num>
  <w:num w:numId="17">
    <w:abstractNumId w:val="17"/>
  </w:num>
  <w:num w:numId="18">
    <w:abstractNumId w:val="24"/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8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6"/>
    <w:lvlOverride w:ilvl="0">
      <w:startOverride w:val="1"/>
    </w:lvlOverride>
  </w:num>
  <w:num w:numId="26">
    <w:abstractNumId w:val="30"/>
    <w:lvlOverride w:ilvl="0">
      <w:startOverride w:val="3"/>
    </w:lvlOverride>
  </w:num>
  <w:num w:numId="27">
    <w:abstractNumId w:val="2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C779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270B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27E09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0067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2997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6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2F0E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4685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290F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0A39"/>
    <w:rsid w:val="00EE47D5"/>
    <w:rsid w:val="00EE5053"/>
    <w:rsid w:val="00EE6BED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6AEC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8</cp:revision>
  <cp:lastPrinted>2025-07-30T07:14:00Z</cp:lastPrinted>
  <dcterms:created xsi:type="dcterms:W3CDTF">2025-07-29T07:58:00Z</dcterms:created>
  <dcterms:modified xsi:type="dcterms:W3CDTF">2025-08-05T08:45:00Z</dcterms:modified>
</cp:coreProperties>
</file>