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4090F">
        <w:rPr>
          <w:sz w:val="28"/>
          <w:szCs w:val="28"/>
          <w:u w:val="single"/>
        </w:rPr>
        <w:t>11.07.2025г.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A4090F">
        <w:rPr>
          <w:sz w:val="28"/>
          <w:szCs w:val="28"/>
        </w:rPr>
        <w:t xml:space="preserve"> 580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02C3A" w:rsidRPr="00E02C3A" w:rsidTr="00DD0844">
        <w:tc>
          <w:tcPr>
            <w:tcW w:w="4786" w:type="dxa"/>
          </w:tcPr>
          <w:p w:rsidR="00E02C3A" w:rsidRPr="00E02C3A" w:rsidRDefault="00E02C3A" w:rsidP="00E02C3A">
            <w:pPr>
              <w:ind w:left="-107" w:right="278"/>
              <w:jc w:val="both"/>
              <w:rPr>
                <w:sz w:val="26"/>
                <w:szCs w:val="26"/>
              </w:rPr>
            </w:pPr>
            <w:r w:rsidRPr="00E02C3A">
              <w:rPr>
                <w:sz w:val="26"/>
                <w:szCs w:val="26"/>
              </w:rPr>
              <w:t xml:space="preserve">О предоставлении в аренду  </w:t>
            </w:r>
            <w:r>
              <w:rPr>
                <w:sz w:val="26"/>
                <w:szCs w:val="26"/>
              </w:rPr>
              <w:t xml:space="preserve">                                 </w:t>
            </w:r>
            <w:r w:rsidRPr="00E02C3A">
              <w:rPr>
                <w:sz w:val="26"/>
                <w:szCs w:val="26"/>
              </w:rPr>
              <w:t xml:space="preserve">Л. Л. </w:t>
            </w:r>
            <w:proofErr w:type="spellStart"/>
            <w:r w:rsidRPr="00E02C3A">
              <w:rPr>
                <w:sz w:val="26"/>
                <w:szCs w:val="26"/>
              </w:rPr>
              <w:t>Жданиковой</w:t>
            </w:r>
            <w:proofErr w:type="spellEnd"/>
            <w:r w:rsidRPr="00E02C3A">
              <w:rPr>
                <w:sz w:val="26"/>
                <w:szCs w:val="26"/>
              </w:rPr>
              <w:t xml:space="preserve"> земельного участка, государственная собственность на  который не разграничена, на новый срок</w:t>
            </w:r>
          </w:p>
          <w:p w:rsidR="00E02C3A" w:rsidRPr="00E02C3A" w:rsidRDefault="00E02C3A" w:rsidP="00E02C3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36" w:type="dxa"/>
          </w:tcPr>
          <w:p w:rsidR="00E02C3A" w:rsidRPr="00E02C3A" w:rsidRDefault="00E02C3A" w:rsidP="00E02C3A">
            <w:pPr>
              <w:jc w:val="both"/>
              <w:rPr>
                <w:sz w:val="26"/>
                <w:szCs w:val="26"/>
              </w:rPr>
            </w:pPr>
          </w:p>
        </w:tc>
      </w:tr>
    </w:tbl>
    <w:p w:rsidR="00E02C3A" w:rsidRPr="00E02C3A" w:rsidRDefault="00E02C3A" w:rsidP="00E02C3A">
      <w:pPr>
        <w:ind w:firstLine="709"/>
        <w:jc w:val="both"/>
        <w:rPr>
          <w:sz w:val="26"/>
          <w:szCs w:val="26"/>
        </w:rPr>
      </w:pPr>
    </w:p>
    <w:p w:rsidR="00E02C3A" w:rsidRPr="00E02C3A" w:rsidRDefault="00E02C3A" w:rsidP="00E02C3A">
      <w:pPr>
        <w:ind w:firstLine="709"/>
        <w:jc w:val="both"/>
        <w:rPr>
          <w:sz w:val="28"/>
          <w:szCs w:val="28"/>
        </w:rPr>
      </w:pPr>
      <w:r w:rsidRPr="00E02C3A">
        <w:rPr>
          <w:sz w:val="28"/>
          <w:szCs w:val="28"/>
        </w:rPr>
        <w:t xml:space="preserve">В соответствии с Земельным кодексом Российской Федерации, решением </w:t>
      </w:r>
      <w:proofErr w:type="spellStart"/>
      <w:r w:rsidRPr="00E02C3A">
        <w:rPr>
          <w:sz w:val="28"/>
          <w:szCs w:val="28"/>
        </w:rPr>
        <w:t>Шумячского</w:t>
      </w:r>
      <w:proofErr w:type="spellEnd"/>
      <w:r w:rsidRPr="00E02C3A">
        <w:rPr>
          <w:sz w:val="28"/>
          <w:szCs w:val="28"/>
        </w:rPr>
        <w:t xml:space="preserve">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02C3A">
        <w:rPr>
          <w:sz w:val="28"/>
          <w:szCs w:val="28"/>
        </w:rPr>
        <w:t>Шумячский</w:t>
      </w:r>
      <w:proofErr w:type="spellEnd"/>
      <w:r w:rsidRPr="00E02C3A">
        <w:rPr>
          <w:sz w:val="28"/>
          <w:szCs w:val="28"/>
        </w:rPr>
        <w:t xml:space="preserve"> район» Смоленской области», на  основании заявления   Л.Л. </w:t>
      </w:r>
      <w:proofErr w:type="spellStart"/>
      <w:r w:rsidRPr="00E02C3A">
        <w:rPr>
          <w:sz w:val="28"/>
          <w:szCs w:val="28"/>
        </w:rPr>
        <w:t>Жданиковой</w:t>
      </w:r>
      <w:proofErr w:type="spellEnd"/>
      <w:r w:rsidRPr="00E02C3A">
        <w:rPr>
          <w:sz w:val="28"/>
          <w:szCs w:val="28"/>
        </w:rPr>
        <w:t xml:space="preserve"> от 02.07.2025 г. б/н </w:t>
      </w:r>
      <w:r w:rsidRPr="00E02C3A">
        <w:rPr>
          <w:sz w:val="26"/>
          <w:szCs w:val="26"/>
        </w:rPr>
        <w:t xml:space="preserve"> </w:t>
      </w:r>
    </w:p>
    <w:p w:rsidR="00E02C3A" w:rsidRPr="00E02C3A" w:rsidRDefault="00E02C3A" w:rsidP="00E02C3A">
      <w:pPr>
        <w:ind w:firstLine="709"/>
        <w:jc w:val="both"/>
        <w:rPr>
          <w:sz w:val="28"/>
          <w:szCs w:val="28"/>
        </w:rPr>
      </w:pPr>
      <w:r w:rsidRPr="00E02C3A">
        <w:rPr>
          <w:sz w:val="28"/>
          <w:szCs w:val="28"/>
        </w:rPr>
        <w:t>Администрация муниципального образования «</w:t>
      </w:r>
      <w:proofErr w:type="spellStart"/>
      <w:r w:rsidRPr="00E02C3A">
        <w:rPr>
          <w:sz w:val="28"/>
          <w:szCs w:val="28"/>
        </w:rPr>
        <w:t>Шумячский</w:t>
      </w:r>
      <w:proofErr w:type="spellEnd"/>
      <w:r w:rsidRPr="00E02C3A">
        <w:rPr>
          <w:sz w:val="28"/>
          <w:szCs w:val="28"/>
        </w:rPr>
        <w:t xml:space="preserve"> муниципальный округ» Смоленской области</w:t>
      </w:r>
    </w:p>
    <w:p w:rsidR="00E02C3A" w:rsidRPr="00E02C3A" w:rsidRDefault="00E02C3A" w:rsidP="00E02C3A">
      <w:pPr>
        <w:ind w:firstLine="709"/>
        <w:jc w:val="both"/>
        <w:rPr>
          <w:sz w:val="28"/>
          <w:szCs w:val="28"/>
        </w:rPr>
      </w:pPr>
    </w:p>
    <w:p w:rsidR="00E02C3A" w:rsidRPr="00E02C3A" w:rsidRDefault="00E02C3A" w:rsidP="00E02C3A">
      <w:pPr>
        <w:ind w:firstLine="709"/>
        <w:jc w:val="both"/>
        <w:rPr>
          <w:sz w:val="26"/>
          <w:szCs w:val="26"/>
        </w:rPr>
      </w:pPr>
      <w:r w:rsidRPr="00E02C3A">
        <w:rPr>
          <w:sz w:val="26"/>
          <w:szCs w:val="26"/>
        </w:rPr>
        <w:t>П О С Т А Н О В Л Я Е</w:t>
      </w:r>
      <w:r>
        <w:rPr>
          <w:sz w:val="26"/>
          <w:szCs w:val="26"/>
        </w:rPr>
        <w:t xml:space="preserve"> </w:t>
      </w:r>
      <w:r w:rsidRPr="00E02C3A">
        <w:rPr>
          <w:sz w:val="26"/>
          <w:szCs w:val="26"/>
        </w:rPr>
        <w:t xml:space="preserve">Т:                 </w:t>
      </w:r>
    </w:p>
    <w:p w:rsidR="00E02C3A" w:rsidRPr="00E02C3A" w:rsidRDefault="00E02C3A" w:rsidP="00E02C3A">
      <w:pPr>
        <w:ind w:firstLine="709"/>
        <w:jc w:val="both"/>
        <w:rPr>
          <w:sz w:val="28"/>
          <w:szCs w:val="28"/>
        </w:rPr>
      </w:pPr>
    </w:p>
    <w:p w:rsidR="00E02C3A" w:rsidRPr="00E02C3A" w:rsidRDefault="00E02C3A" w:rsidP="00E02C3A">
      <w:pPr>
        <w:jc w:val="both"/>
        <w:rPr>
          <w:sz w:val="28"/>
          <w:szCs w:val="28"/>
        </w:rPr>
      </w:pPr>
      <w:r w:rsidRPr="00E02C3A">
        <w:rPr>
          <w:sz w:val="28"/>
          <w:szCs w:val="28"/>
        </w:rPr>
        <w:t xml:space="preserve">          1. Предоставить в аренду </w:t>
      </w:r>
      <w:proofErr w:type="spellStart"/>
      <w:r w:rsidRPr="00E02C3A">
        <w:rPr>
          <w:sz w:val="28"/>
          <w:szCs w:val="28"/>
        </w:rPr>
        <w:t>Жданиковой</w:t>
      </w:r>
      <w:proofErr w:type="spellEnd"/>
      <w:r w:rsidRPr="00E02C3A">
        <w:rPr>
          <w:sz w:val="28"/>
          <w:szCs w:val="28"/>
        </w:rPr>
        <w:t xml:space="preserve"> Любови </w:t>
      </w:r>
      <w:proofErr w:type="spellStart"/>
      <w:r w:rsidRPr="00E02C3A">
        <w:rPr>
          <w:sz w:val="28"/>
          <w:szCs w:val="28"/>
        </w:rPr>
        <w:t>Леоновне</w:t>
      </w:r>
      <w:proofErr w:type="spellEnd"/>
      <w:r w:rsidRPr="00E02C3A">
        <w:rPr>
          <w:sz w:val="28"/>
          <w:szCs w:val="28"/>
        </w:rPr>
        <w:t xml:space="preserve"> земельный участок из земель населенных пунктов с кадастровым номером 67:24:0180101:1804,  находящийся по адресу: Смоленская область, </w:t>
      </w:r>
      <w:proofErr w:type="spellStart"/>
      <w:r w:rsidRPr="00E02C3A">
        <w:rPr>
          <w:sz w:val="28"/>
          <w:szCs w:val="28"/>
        </w:rPr>
        <w:t>Шумячский</w:t>
      </w:r>
      <w:proofErr w:type="spellEnd"/>
      <w:r w:rsidRPr="00E02C3A">
        <w:rPr>
          <w:sz w:val="28"/>
          <w:szCs w:val="28"/>
        </w:rPr>
        <w:t xml:space="preserve"> район, с. Первомайский, пер. Советский, вблизи д. 14 (далее – Участок),  для  использования в целях – под гаражом, площадью 33 (тридцать три) </w:t>
      </w:r>
      <w:proofErr w:type="spellStart"/>
      <w:r w:rsidRPr="00E02C3A">
        <w:rPr>
          <w:sz w:val="28"/>
          <w:szCs w:val="28"/>
        </w:rPr>
        <w:t>кв.м</w:t>
      </w:r>
      <w:proofErr w:type="spellEnd"/>
      <w:r w:rsidRPr="00E02C3A">
        <w:rPr>
          <w:sz w:val="28"/>
          <w:szCs w:val="28"/>
        </w:rPr>
        <w:t xml:space="preserve">., на  новый срок 10 (десять) лет .  </w:t>
      </w:r>
    </w:p>
    <w:p w:rsidR="00E02C3A" w:rsidRPr="00E02C3A" w:rsidRDefault="00E02C3A" w:rsidP="00E02C3A">
      <w:pPr>
        <w:ind w:left="709"/>
        <w:rPr>
          <w:sz w:val="28"/>
          <w:szCs w:val="28"/>
        </w:rPr>
      </w:pPr>
      <w:r w:rsidRPr="00E02C3A">
        <w:rPr>
          <w:sz w:val="26"/>
          <w:szCs w:val="26"/>
        </w:rPr>
        <w:t xml:space="preserve">2. </w:t>
      </w:r>
      <w:r w:rsidRPr="00E02C3A">
        <w:rPr>
          <w:sz w:val="28"/>
          <w:szCs w:val="28"/>
        </w:rPr>
        <w:t xml:space="preserve">Ограничения использования или обременения Участка: </w:t>
      </w:r>
    </w:p>
    <w:p w:rsidR="00E02C3A" w:rsidRPr="00E02C3A" w:rsidRDefault="00E02C3A" w:rsidP="00E02C3A">
      <w:pPr>
        <w:ind w:firstLine="284"/>
        <w:jc w:val="both"/>
        <w:rPr>
          <w:sz w:val="28"/>
          <w:szCs w:val="28"/>
        </w:rPr>
      </w:pPr>
      <w:r w:rsidRPr="00E02C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E02C3A">
        <w:rPr>
          <w:sz w:val="28"/>
          <w:szCs w:val="28"/>
        </w:rPr>
        <w:t xml:space="preserve"> - ограничения прав на земельный участок, предусмотренные статьей 56 Земельного кодекса Российской Федерации; срок действия: c 22.08.2024;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</w:t>
      </w:r>
      <w:r w:rsidR="00C75EF9">
        <w:rPr>
          <w:sz w:val="28"/>
          <w:szCs w:val="28"/>
        </w:rPr>
        <w:t>«</w:t>
      </w:r>
      <w:r w:rsidRPr="00E02C3A">
        <w:rPr>
          <w:sz w:val="28"/>
          <w:szCs w:val="28"/>
        </w:rPr>
        <w:t>Об электроэнергетике</w:t>
      </w:r>
      <w:r w:rsidR="00C75EF9"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 от 26.03.2003 № 35-ФЗ; </w:t>
      </w:r>
      <w:r w:rsidR="00C75EF9">
        <w:rPr>
          <w:sz w:val="28"/>
          <w:szCs w:val="28"/>
        </w:rPr>
        <w:t>«</w:t>
      </w:r>
      <w:r w:rsidRPr="00E02C3A">
        <w:rPr>
          <w:sz w:val="28"/>
          <w:szCs w:val="28"/>
        </w:rPr>
        <w:t xml:space="preserve">О порядке установления охранных зон объектов электросетевого хозяйства и особых условий использования </w:t>
      </w:r>
      <w:r w:rsidRPr="00E02C3A">
        <w:rPr>
          <w:sz w:val="28"/>
          <w:szCs w:val="28"/>
        </w:rPr>
        <w:lastRenderedPageBreak/>
        <w:t>земельных участков, расположенных в границах таких зон</w:t>
      </w:r>
      <w:r w:rsidR="00C75EF9"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 от 24.02.2009 № 160; </w:t>
      </w:r>
      <w:r w:rsidR="00C75EF9">
        <w:rPr>
          <w:sz w:val="28"/>
          <w:szCs w:val="28"/>
        </w:rPr>
        <w:t>«</w:t>
      </w:r>
      <w:r w:rsidRPr="00E02C3A">
        <w:rPr>
          <w:sz w:val="28"/>
          <w:szCs w:val="28"/>
        </w:rPr>
        <w:t>О некоторых вопросах установления охранных зон объектов электросетевого хозяйства</w:t>
      </w:r>
      <w:r w:rsidR="00C75EF9"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 от 26.08.2013 № 736.</w:t>
      </w:r>
    </w:p>
    <w:p w:rsidR="00E02C3A" w:rsidRPr="00E02C3A" w:rsidRDefault="00E02C3A" w:rsidP="00E02C3A">
      <w:pPr>
        <w:jc w:val="both"/>
        <w:rPr>
          <w:sz w:val="28"/>
          <w:szCs w:val="28"/>
        </w:rPr>
      </w:pPr>
      <w:r w:rsidRPr="00E02C3A">
        <w:t xml:space="preserve">   </w:t>
      </w:r>
      <w:r>
        <w:tab/>
      </w:r>
      <w:r w:rsidRPr="00E02C3A">
        <w:t xml:space="preserve">- </w:t>
      </w:r>
      <w:r w:rsidRPr="00E02C3A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</w:t>
      </w:r>
      <w:r w:rsidR="00C75EF9">
        <w:rPr>
          <w:sz w:val="28"/>
          <w:szCs w:val="28"/>
        </w:rPr>
        <w:t>«</w:t>
      </w:r>
      <w:r w:rsidRPr="00E02C3A">
        <w:rPr>
          <w:sz w:val="28"/>
          <w:szCs w:val="28"/>
        </w:rPr>
        <w:t>Об электроэнергетике</w:t>
      </w:r>
      <w:r w:rsidR="00C75EF9"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 от 26.03.2003 № 35-ФЗ; </w:t>
      </w:r>
      <w:r w:rsidR="00C75EF9">
        <w:rPr>
          <w:sz w:val="28"/>
          <w:szCs w:val="28"/>
        </w:rPr>
        <w:t>«</w:t>
      </w:r>
      <w:r w:rsidRPr="00E02C3A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C75EF9"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 от 24.02.2009 № 160; </w:t>
      </w:r>
      <w:r w:rsidR="00C75EF9">
        <w:rPr>
          <w:sz w:val="28"/>
          <w:szCs w:val="28"/>
        </w:rPr>
        <w:t>«</w:t>
      </w:r>
      <w:r w:rsidRPr="00E02C3A">
        <w:rPr>
          <w:sz w:val="28"/>
          <w:szCs w:val="28"/>
        </w:rPr>
        <w:t>О некоторых вопросах установления охранных зон объектов электросетевого хозяйства</w:t>
      </w:r>
      <w:r w:rsidR="00C75EF9"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 от 26.08.2013 № 736; Содержание ограничения (обременения): Ограничения предусмотрены п.8-11,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утв.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(ред. от 18.02.2023): 8. В охранных зонах запрещается осуществлять любые действия, </w:t>
      </w:r>
    </w:p>
    <w:p w:rsidR="00E02C3A" w:rsidRPr="00E02C3A" w:rsidRDefault="00E02C3A" w:rsidP="00E02C3A">
      <w:pPr>
        <w:jc w:val="both"/>
        <w:rPr>
          <w:sz w:val="28"/>
          <w:szCs w:val="28"/>
        </w:rPr>
      </w:pPr>
      <w:r w:rsidRPr="00E02C3A">
        <w:rPr>
          <w:sz w:val="28"/>
          <w:szCs w:val="28"/>
        </w:rPr>
        <w:t xml:space="preserve">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</w:t>
      </w:r>
      <w:r w:rsidRPr="00E02C3A">
        <w:rPr>
          <w:sz w:val="28"/>
          <w:szCs w:val="28"/>
        </w:rPr>
        <w:lastRenderedPageBreak/>
        <w:t xml:space="preserve">охранных зонах подземных кабельных линий электропередачи).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электропередачи); 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и выше (исключительно в охранных зонах воздушных линий электропередачи); ж) устанавливать рекламные конструкции. 10. В охранных зонах допускается размещение зданий и сооружений при соблюдении следующих параметров: а) размещаемое здание или сооружение не создает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 б) расстояние по горизонтали от элементов зданий и сооружений до проводов воздушных линий электропередачи напряжением до 1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с неизолированными проводами (при наибольшем их отклонении) должно быть не менее: 1,5 метра - от выступающих частей зданий, террас и окон; 1 метра - от глухих стен; в) расстояние по горизонтали от элементов зданий и сооружений до токопроводящих жил кабелей (предназначенных для эксплуатации в воздушной </w:t>
      </w:r>
      <w:r w:rsidRPr="00E02C3A">
        <w:rPr>
          <w:sz w:val="28"/>
          <w:szCs w:val="28"/>
        </w:rPr>
        <w:lastRenderedPageBreak/>
        <w:t xml:space="preserve">среде) напряжением свыше 1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(при наибольшем их отклонении) должно быть не менее: 1 метра - от выступающих частей зданий, террас и окон; 0,2 метра - от глухих стен зданий, сооружений; г)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 быть не менее 2,5 метра; д) расстояние по горизонтали от элементов зданий и сооружений до проводов воздушных линий электропередачи напряжением свыше 1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(при наибольшем их отклонении) должно быть не менее: 2 метров - при проектном номинальном классе напряжения до 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35 - 110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6 метров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20 метров (8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330 - 400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30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750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е) под проводами воздушных линий электропередачи допускается размещение следующих видов зданий и (или) сооружений и (или) их пересечение с воздушными линиями электропередачи: производственные здания и (или) сооружения промышленных предприятий I и II степени огнестойкости в соответствии с техническим регламентом о требованиях пожарной безопасности, если проектный номинальный класс напряжения воздушных линий электропередачи не превышает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, а также вне зависимости от проектного номинального класса напряжения воздушных линий электропередачи - здания и сооружения электрических станций и подстанций (включая вспомогательные и обслуживающие объекты), ограждения при условии, что расстояние от наивысшей точки указанных зданий и (или) сооружений, ограждений по вертикали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7,5 метра - при проектном номинальном классе напряжения 330 - 400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линии связи, линии проводного вещания, если проектный номинальный класс напряжения воздушных линий электропередачи не превышает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при условии, что расстояние по вертикали до проводов воздушной линии электропередачи от указанных линий при наибольшей стреле провеса должно быть не менее: 3 метров - при проектном </w:t>
      </w:r>
      <w:r w:rsidRPr="00E02C3A">
        <w:rPr>
          <w:sz w:val="28"/>
          <w:szCs w:val="28"/>
        </w:rPr>
        <w:lastRenderedPageBreak/>
        <w:t xml:space="preserve">номинальном классе напряжения до 35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330 - 400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железные дороги при условии, что расстояние по вертикали от головки рельса до проводов воздушной линии электропередачи при наибольшей стреле провеса должно быть не менее: 7,5 метра - при проектном номинальном классе напряжения до 35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7,5 метра - при проектном номинальном классе напряжения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8 метров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8,5 метра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9 метров - при проектном номинальном классе напряжения 330- 400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9,5 метра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автомобильные дороги при условии,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менее: 7 метров при проектном номинальном классе напряжения до 35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7 метров - при проектном номинальном классе напряжения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7,5 метра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8 метров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8,5 метра (11 метров - в границах населенных пунктов) - при проектном номинальном классе напряжения 330 - 400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9,5 метра (15,5 метра - в границах населенных пунктов)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16 метров (23 метров - в границах населенных пунктов) - при проектном номинальном классе напряжения 750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провода контактной сети или несущего троса трамвайных и троллейбусных линий, если проектный номинальный класс напряжения воздушных линий электропередачи не превышает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 при условии,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3 метров - при проектном номинальном классе напряжения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330 - 400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трубопроводы при условии,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менее: 4 метров- при проектном номинальном классе напряжения до 35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4,5 метра - при проектном номинальном классе напряжения 150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6 метров - при проектном номинальном классе напряжения 330 - 400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E02C3A">
        <w:rPr>
          <w:sz w:val="28"/>
          <w:szCs w:val="28"/>
        </w:rPr>
        <w:t>кВ</w:t>
      </w:r>
      <w:proofErr w:type="spellEnd"/>
      <w:r w:rsidRPr="00E02C3A">
        <w:rPr>
          <w:sz w:val="28"/>
          <w:szCs w:val="28"/>
        </w:rPr>
        <w:t xml:space="preserve">; ж) в случае если в соответствии с техническим регламентом о требованиях пожарной безопасности должны </w:t>
      </w:r>
      <w:r w:rsidRPr="00E02C3A">
        <w:rPr>
          <w:sz w:val="28"/>
          <w:szCs w:val="28"/>
        </w:rPr>
        <w:lastRenderedPageBreak/>
        <w:t>соблюдаться противопожарные расстояния между такими зданиями, сооружениями и объектами электроэнергетики, возможность размещения зданий, сооружений в границах охранной зоны определяется исходя из противопожарных расстояний. 11. В пределах охранной зоны без соблюдения условий осуществления соответствующих видов деятельности, предусмотренных решением о согласовании такой охранной зоны, юридическим и физическим лицам запрещаются: а) горные, взрывные, мелиоративные работы, в том числе</w:t>
      </w:r>
      <w:r>
        <w:rPr>
          <w:sz w:val="28"/>
          <w:szCs w:val="28"/>
        </w:rPr>
        <w:t xml:space="preserve"> </w:t>
      </w:r>
      <w:r w:rsidRPr="00E02C3A">
        <w:rPr>
          <w:sz w:val="28"/>
          <w:szCs w:val="28"/>
        </w:rPr>
        <w:t xml:space="preserve">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д)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е)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ж)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электропередачи); з) посадка и вырубка деревьев и кустарников.; Реестровый номер границы: 67:24-6.958; Вид объекта реестра границ: Зона с особыми условиями использования территории; Вид зоны по документу: Охранная зона объектов </w:t>
      </w:r>
      <w:r w:rsidR="000C2832" w:rsidRPr="00E02C3A">
        <w:rPr>
          <w:sz w:val="28"/>
          <w:szCs w:val="28"/>
        </w:rPr>
        <w:t>электросетевого</w:t>
      </w:r>
      <w:r w:rsidRPr="00E02C3A">
        <w:rPr>
          <w:sz w:val="28"/>
          <w:szCs w:val="28"/>
        </w:rPr>
        <w:t xml:space="preserve"> хозяйства </w:t>
      </w:r>
      <w:r>
        <w:rPr>
          <w:sz w:val="28"/>
          <w:szCs w:val="28"/>
        </w:rPr>
        <w:t>«</w:t>
      </w:r>
      <w:r w:rsidRPr="00E02C3A">
        <w:rPr>
          <w:sz w:val="28"/>
          <w:szCs w:val="28"/>
        </w:rPr>
        <w:t>ВЛ 0,4кВ №7 ТП 157 ВЛ-1009 Первомайск</w:t>
      </w:r>
      <w:r>
        <w:rPr>
          <w:sz w:val="28"/>
          <w:szCs w:val="28"/>
        </w:rPr>
        <w:t>»</w:t>
      </w:r>
      <w:r w:rsidRPr="00E02C3A">
        <w:rPr>
          <w:sz w:val="28"/>
          <w:szCs w:val="28"/>
        </w:rPr>
        <w:t xml:space="preserve">; Тип зоны: Охранная зона объектов электроэнергетики (объектов электросетевого хозяйства и объектов по производству электрической энергии). </w:t>
      </w:r>
    </w:p>
    <w:p w:rsidR="00E02C3A" w:rsidRPr="00E02C3A" w:rsidRDefault="00E02C3A" w:rsidP="00E02C3A">
      <w:pPr>
        <w:jc w:val="both"/>
        <w:rPr>
          <w:sz w:val="26"/>
          <w:szCs w:val="26"/>
        </w:rPr>
      </w:pPr>
      <w:r w:rsidRPr="00E02C3A">
        <w:rPr>
          <w:sz w:val="28"/>
          <w:szCs w:val="28"/>
        </w:rPr>
        <w:t xml:space="preserve"> </w:t>
      </w:r>
      <w:r w:rsidRPr="00E02C3A">
        <w:rPr>
          <w:sz w:val="26"/>
          <w:szCs w:val="26"/>
        </w:rPr>
        <w:t xml:space="preserve">         3. </w:t>
      </w:r>
      <w:r w:rsidRPr="00E02C3A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02C3A">
        <w:rPr>
          <w:sz w:val="28"/>
          <w:szCs w:val="28"/>
        </w:rPr>
        <w:t>Шумячский</w:t>
      </w:r>
      <w:proofErr w:type="spellEnd"/>
      <w:r w:rsidRPr="00E02C3A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E02C3A" w:rsidRPr="00E02C3A" w:rsidRDefault="00E02C3A" w:rsidP="00E02C3A">
      <w:pPr>
        <w:jc w:val="both"/>
        <w:rPr>
          <w:sz w:val="26"/>
          <w:szCs w:val="26"/>
        </w:rPr>
      </w:pPr>
      <w:r w:rsidRPr="00E02C3A">
        <w:rPr>
          <w:sz w:val="26"/>
          <w:szCs w:val="26"/>
        </w:rPr>
        <w:t xml:space="preserve">        </w:t>
      </w:r>
    </w:p>
    <w:p w:rsidR="00E02C3A" w:rsidRPr="00E02C3A" w:rsidRDefault="00E02C3A" w:rsidP="00E02C3A">
      <w:pPr>
        <w:jc w:val="both"/>
        <w:rPr>
          <w:sz w:val="26"/>
          <w:szCs w:val="26"/>
        </w:rPr>
      </w:pPr>
      <w:r w:rsidRPr="00E02C3A">
        <w:rPr>
          <w:sz w:val="26"/>
          <w:szCs w:val="26"/>
        </w:rPr>
        <w:t xml:space="preserve">         </w:t>
      </w:r>
    </w:p>
    <w:p w:rsidR="00E02C3A" w:rsidRPr="00E02C3A" w:rsidRDefault="00E02C3A" w:rsidP="00E02C3A">
      <w:pPr>
        <w:ind w:firstLine="709"/>
        <w:jc w:val="both"/>
        <w:rPr>
          <w:sz w:val="26"/>
          <w:szCs w:val="26"/>
        </w:rPr>
      </w:pPr>
    </w:p>
    <w:p w:rsidR="00E02C3A" w:rsidRPr="00E02C3A" w:rsidRDefault="00E02C3A" w:rsidP="00E02C3A">
      <w:pPr>
        <w:jc w:val="both"/>
        <w:rPr>
          <w:sz w:val="28"/>
          <w:szCs w:val="28"/>
        </w:rPr>
      </w:pPr>
      <w:r w:rsidRPr="00E02C3A">
        <w:rPr>
          <w:sz w:val="28"/>
          <w:szCs w:val="28"/>
        </w:rPr>
        <w:t xml:space="preserve">Глава муниципального образования </w:t>
      </w:r>
    </w:p>
    <w:p w:rsidR="00E02C3A" w:rsidRPr="00E02C3A" w:rsidRDefault="00E02C3A" w:rsidP="00E02C3A">
      <w:pPr>
        <w:jc w:val="both"/>
        <w:rPr>
          <w:sz w:val="26"/>
          <w:szCs w:val="26"/>
        </w:rPr>
      </w:pPr>
      <w:r w:rsidRPr="00E02C3A">
        <w:rPr>
          <w:sz w:val="26"/>
          <w:szCs w:val="26"/>
        </w:rPr>
        <w:t>«</w:t>
      </w:r>
      <w:proofErr w:type="spellStart"/>
      <w:r w:rsidRPr="00E02C3A">
        <w:rPr>
          <w:sz w:val="26"/>
          <w:szCs w:val="26"/>
        </w:rPr>
        <w:t>Шумячский</w:t>
      </w:r>
      <w:proofErr w:type="spellEnd"/>
      <w:r w:rsidRPr="00E02C3A">
        <w:rPr>
          <w:sz w:val="26"/>
          <w:szCs w:val="26"/>
        </w:rPr>
        <w:t xml:space="preserve"> муниципальный округ» </w:t>
      </w:r>
    </w:p>
    <w:p w:rsidR="00E02C3A" w:rsidRPr="00E02C3A" w:rsidRDefault="00E02C3A" w:rsidP="00E02C3A">
      <w:pPr>
        <w:jc w:val="both"/>
        <w:rPr>
          <w:sz w:val="26"/>
          <w:szCs w:val="26"/>
        </w:rPr>
      </w:pPr>
      <w:r w:rsidRPr="00E02C3A">
        <w:rPr>
          <w:sz w:val="28"/>
          <w:szCs w:val="28"/>
        </w:rPr>
        <w:t xml:space="preserve">Смоленской области  </w:t>
      </w:r>
      <w:r w:rsidRPr="00E02C3A">
        <w:rPr>
          <w:sz w:val="26"/>
          <w:szCs w:val="26"/>
        </w:rPr>
        <w:t xml:space="preserve">                                                                                       </w:t>
      </w:r>
      <w:r w:rsidRPr="00E02C3A">
        <w:rPr>
          <w:sz w:val="28"/>
          <w:szCs w:val="28"/>
        </w:rPr>
        <w:t>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381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778" w:rsidRDefault="00754778">
      <w:r>
        <w:separator/>
      </w:r>
    </w:p>
  </w:endnote>
  <w:endnote w:type="continuationSeparator" w:id="0">
    <w:p w:rsidR="00754778" w:rsidRDefault="0075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778" w:rsidRDefault="00754778">
      <w:r>
        <w:separator/>
      </w:r>
    </w:p>
  </w:footnote>
  <w:footnote w:type="continuationSeparator" w:id="0">
    <w:p w:rsidR="00754778" w:rsidRDefault="0075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6035688"/>
      <w:docPartObj>
        <w:docPartGallery w:val="Page Numbers (Top of Page)"/>
        <w:docPartUnique/>
      </w:docPartObj>
    </w:sdtPr>
    <w:sdtEndPr/>
    <w:sdtContent>
      <w:p w:rsidR="00381089" w:rsidRDefault="003810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89" w:rsidRDefault="0038108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2832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1089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4778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5433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90F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5EF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2C3A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F35F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1E1D-F8C6-48B5-807A-5104FA35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2025-06-26T13:39:00Z</cp:lastPrinted>
  <dcterms:created xsi:type="dcterms:W3CDTF">2025-07-10T11:31:00Z</dcterms:created>
  <dcterms:modified xsi:type="dcterms:W3CDTF">2025-07-24T11:38:00Z</dcterms:modified>
</cp:coreProperties>
</file>