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62775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62775">
        <w:rPr>
          <w:sz w:val="28"/>
          <w:szCs w:val="28"/>
        </w:rPr>
        <w:t xml:space="preserve"> 516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BC6CA2" w:rsidRPr="00BC6CA2" w:rsidTr="00BC6CA2">
        <w:tc>
          <w:tcPr>
            <w:tcW w:w="4786" w:type="dxa"/>
          </w:tcPr>
          <w:p w:rsidR="00BC6CA2" w:rsidRPr="00BC6CA2" w:rsidRDefault="00BC6CA2" w:rsidP="00BC6CA2">
            <w:pPr>
              <w:ind w:left="30"/>
              <w:jc w:val="both"/>
              <w:rPr>
                <w:sz w:val="28"/>
                <w:szCs w:val="28"/>
              </w:rPr>
            </w:pPr>
            <w:r w:rsidRPr="00BC6CA2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BC6CA2" w:rsidRPr="00BC6CA2" w:rsidRDefault="00BC6CA2" w:rsidP="00BC6CA2">
            <w:pPr>
              <w:jc w:val="both"/>
              <w:rPr>
                <w:sz w:val="28"/>
                <w:szCs w:val="28"/>
              </w:rPr>
            </w:pPr>
          </w:p>
        </w:tc>
      </w:tr>
    </w:tbl>
    <w:p w:rsidR="00BC6CA2" w:rsidRPr="00BC6CA2" w:rsidRDefault="00BC6CA2" w:rsidP="00BC6CA2">
      <w:pPr>
        <w:jc w:val="both"/>
        <w:rPr>
          <w:sz w:val="28"/>
          <w:szCs w:val="28"/>
        </w:rPr>
      </w:pPr>
    </w:p>
    <w:p w:rsidR="00BC6CA2" w:rsidRPr="00BC6CA2" w:rsidRDefault="00BC6CA2" w:rsidP="00BC6CA2">
      <w:pPr>
        <w:ind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Смоленской области</w:t>
      </w:r>
    </w:p>
    <w:p w:rsidR="00BC6CA2" w:rsidRPr="00BC6CA2" w:rsidRDefault="00BC6CA2" w:rsidP="00BC6CA2">
      <w:pPr>
        <w:ind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>Администрация муниципального образования 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Смоленской области</w:t>
      </w:r>
    </w:p>
    <w:p w:rsidR="00BC6CA2" w:rsidRPr="00BC6CA2" w:rsidRDefault="00BC6CA2" w:rsidP="00BC6CA2">
      <w:pPr>
        <w:ind w:firstLine="709"/>
        <w:jc w:val="both"/>
        <w:rPr>
          <w:sz w:val="28"/>
          <w:szCs w:val="28"/>
        </w:rPr>
      </w:pPr>
    </w:p>
    <w:p w:rsidR="00BC6CA2" w:rsidRPr="00BC6CA2" w:rsidRDefault="00BC6CA2" w:rsidP="00BC6CA2">
      <w:pPr>
        <w:ind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П О С Т А Н О В Л Я Е Т:                 </w:t>
      </w:r>
    </w:p>
    <w:p w:rsidR="00BC6CA2" w:rsidRPr="00BC6CA2" w:rsidRDefault="00BC6CA2" w:rsidP="00BC6CA2">
      <w:pPr>
        <w:ind w:firstLine="709"/>
        <w:jc w:val="both"/>
        <w:rPr>
          <w:sz w:val="28"/>
          <w:szCs w:val="28"/>
        </w:rPr>
      </w:pPr>
    </w:p>
    <w:p w:rsidR="00BC6CA2" w:rsidRPr="00BC6CA2" w:rsidRDefault="00BC6CA2" w:rsidP="00BC6CA2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 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Шумовская.</w:t>
      </w:r>
    </w:p>
    <w:p w:rsidR="00BC6CA2" w:rsidRPr="00BC6CA2" w:rsidRDefault="00BC6CA2" w:rsidP="00BC6CA2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 Установить начальную (максимальную) цену муниципального контракта на выполнение работ по ремонту автомобильной дороги: п. Шумячи, ул. Шумовская в размере 338140 (триста тридцать восемь тысяч сто сорок) рублей 90 копеек.</w:t>
      </w:r>
    </w:p>
    <w:p w:rsidR="00BC6CA2" w:rsidRPr="00BC6CA2" w:rsidRDefault="00BC6CA2" w:rsidP="00BC6CA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 </w:t>
      </w:r>
      <w:proofErr w:type="spellStart"/>
      <w:r w:rsidRPr="00BC6CA2">
        <w:rPr>
          <w:sz w:val="28"/>
          <w:szCs w:val="28"/>
        </w:rPr>
        <w:t>Шумячскому</w:t>
      </w:r>
      <w:proofErr w:type="spellEnd"/>
      <w:r w:rsidRPr="00BC6CA2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Шумовская.</w:t>
      </w:r>
    </w:p>
    <w:p w:rsidR="00BC6CA2" w:rsidRPr="00BC6CA2" w:rsidRDefault="00BC6CA2" w:rsidP="00BC6CA2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C6CA2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    </w:t>
      </w:r>
    </w:p>
    <w:p w:rsidR="00BC6CA2" w:rsidRDefault="00BC6CA2" w:rsidP="00BC6CA2">
      <w:pPr>
        <w:tabs>
          <w:tab w:val="right" w:pos="10206"/>
        </w:tabs>
        <w:rPr>
          <w:sz w:val="28"/>
          <w:szCs w:val="28"/>
        </w:rPr>
      </w:pPr>
    </w:p>
    <w:p w:rsidR="00BC6CA2" w:rsidRPr="00BC6CA2" w:rsidRDefault="00BC6CA2" w:rsidP="00BC6CA2">
      <w:pPr>
        <w:tabs>
          <w:tab w:val="right" w:pos="10206"/>
        </w:tabs>
        <w:rPr>
          <w:sz w:val="28"/>
          <w:szCs w:val="28"/>
        </w:rPr>
      </w:pPr>
      <w:proofErr w:type="spellStart"/>
      <w:r w:rsidRPr="00BC6CA2">
        <w:rPr>
          <w:sz w:val="28"/>
          <w:szCs w:val="28"/>
        </w:rPr>
        <w:t>И.п</w:t>
      </w:r>
      <w:proofErr w:type="spellEnd"/>
      <w:r w:rsidRPr="00BC6CA2">
        <w:rPr>
          <w:sz w:val="28"/>
          <w:szCs w:val="28"/>
        </w:rPr>
        <w:t xml:space="preserve">. Главы  муниципального образования </w:t>
      </w:r>
    </w:p>
    <w:p w:rsidR="00BC6CA2" w:rsidRPr="00BC6CA2" w:rsidRDefault="00BC6CA2" w:rsidP="00BC6CA2">
      <w:pPr>
        <w:tabs>
          <w:tab w:val="right" w:pos="10206"/>
        </w:tabs>
        <w:rPr>
          <w:sz w:val="28"/>
          <w:szCs w:val="28"/>
        </w:rPr>
      </w:pPr>
      <w:r w:rsidRPr="00BC6CA2">
        <w:rPr>
          <w:sz w:val="28"/>
          <w:szCs w:val="28"/>
        </w:rPr>
        <w:t>«</w:t>
      </w:r>
      <w:proofErr w:type="spellStart"/>
      <w:r w:rsidRPr="00BC6CA2">
        <w:rPr>
          <w:sz w:val="28"/>
          <w:szCs w:val="28"/>
        </w:rPr>
        <w:t>Шумячский</w:t>
      </w:r>
      <w:proofErr w:type="spellEnd"/>
      <w:r w:rsidRPr="00BC6CA2">
        <w:rPr>
          <w:sz w:val="28"/>
          <w:szCs w:val="28"/>
        </w:rPr>
        <w:t xml:space="preserve"> муниципальный округ» </w:t>
      </w:r>
    </w:p>
    <w:p w:rsidR="00BC6CA2" w:rsidRPr="00BC6CA2" w:rsidRDefault="00BC6CA2" w:rsidP="00BC6CA2">
      <w:pPr>
        <w:tabs>
          <w:tab w:val="right" w:pos="10206"/>
        </w:tabs>
        <w:rPr>
          <w:sz w:val="28"/>
          <w:szCs w:val="28"/>
        </w:rPr>
      </w:pPr>
      <w:r w:rsidRPr="00BC6CA2">
        <w:rPr>
          <w:sz w:val="28"/>
          <w:szCs w:val="28"/>
        </w:rPr>
        <w:t>Смоленской области                                                                            Н.М. Дмитриева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1517CB">
      <w:headerReference w:type="even" r:id="rId9"/>
      <w:headerReference w:type="default" r:id="rId10"/>
      <w:pgSz w:w="11907" w:h="16840" w:code="9"/>
      <w:pgMar w:top="851" w:right="567" w:bottom="14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25F" w:rsidRDefault="00A3125F">
      <w:r>
        <w:separator/>
      </w:r>
    </w:p>
  </w:endnote>
  <w:endnote w:type="continuationSeparator" w:id="0">
    <w:p w:rsidR="00A3125F" w:rsidRDefault="00A3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25F" w:rsidRDefault="00A3125F">
      <w:r>
        <w:separator/>
      </w:r>
    </w:p>
  </w:footnote>
  <w:footnote w:type="continuationSeparator" w:id="0">
    <w:p w:rsidR="00A3125F" w:rsidRDefault="00A3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25F10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2EF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17CB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371C0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BE0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62775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13D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29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5CA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125F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6CA2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1790"/>
    <w:rsid w:val="00D331D6"/>
    <w:rsid w:val="00D33905"/>
    <w:rsid w:val="00D34C94"/>
    <w:rsid w:val="00D3597E"/>
    <w:rsid w:val="00D40C70"/>
    <w:rsid w:val="00D414E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B7E0E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66A5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254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44B2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A0D0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8950E-AF96-4A89-AB04-47B7DAC2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2025-06-16T09:51:00Z</cp:lastPrinted>
  <dcterms:created xsi:type="dcterms:W3CDTF">2025-06-19T08:14:00Z</dcterms:created>
  <dcterms:modified xsi:type="dcterms:W3CDTF">2025-06-19T08:14:00Z</dcterms:modified>
</cp:coreProperties>
</file>