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73EFF">
        <w:rPr>
          <w:sz w:val="28"/>
          <w:szCs w:val="28"/>
          <w:u w:val="single"/>
        </w:rPr>
        <w:t>24.01.2023г.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73EFF">
        <w:rPr>
          <w:sz w:val="28"/>
          <w:szCs w:val="28"/>
        </w:rPr>
        <w:t xml:space="preserve"> 32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395"/>
        <w:gridCol w:w="4695"/>
      </w:tblGrid>
      <w:tr w:rsidR="00E730B7" w:rsidTr="00E730B7">
        <w:trPr>
          <w:trHeight w:val="1737"/>
        </w:trPr>
        <w:tc>
          <w:tcPr>
            <w:tcW w:w="4395" w:type="dxa"/>
          </w:tcPr>
          <w:p w:rsidR="00E730B7" w:rsidRDefault="00E730B7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28.10.2019 г. № 476 </w:t>
            </w:r>
          </w:p>
          <w:p w:rsidR="00E730B7" w:rsidRDefault="00E73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E730B7" w:rsidRDefault="00E730B7">
            <w:pPr>
              <w:jc w:val="both"/>
              <w:rPr>
                <w:sz w:val="28"/>
                <w:szCs w:val="28"/>
              </w:rPr>
            </w:pPr>
          </w:p>
        </w:tc>
      </w:tr>
    </w:tbl>
    <w:p w:rsidR="00E730B7" w:rsidRDefault="00E730B7" w:rsidP="00E7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30B7" w:rsidRDefault="00E730B7" w:rsidP="00E7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730B7" w:rsidRDefault="00E730B7" w:rsidP="00E73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730B7" w:rsidRDefault="00E730B7" w:rsidP="00E730B7">
      <w:pPr>
        <w:ind w:firstLine="709"/>
        <w:jc w:val="both"/>
        <w:rPr>
          <w:sz w:val="28"/>
          <w:szCs w:val="28"/>
        </w:rPr>
      </w:pPr>
    </w:p>
    <w:p w:rsidR="00E730B7" w:rsidRDefault="00E730B7" w:rsidP="00E73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E730B7" w:rsidRDefault="00E730B7" w:rsidP="00E730B7">
      <w:pPr>
        <w:ind w:firstLine="709"/>
        <w:jc w:val="both"/>
        <w:rPr>
          <w:sz w:val="28"/>
          <w:szCs w:val="28"/>
        </w:rPr>
      </w:pPr>
    </w:p>
    <w:p w:rsidR="00E730B7" w:rsidRDefault="00E730B7" w:rsidP="00E7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28.10.2019 г. № 476 «О внесении изменений в Положение об Отделе по строительству, кап. ремонту и ЖКХ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(далее – Постановление) следующее изменение:</w:t>
      </w:r>
    </w:p>
    <w:p w:rsidR="00E730B7" w:rsidRDefault="00E730B7" w:rsidP="00E7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п. 3. слова «Контроль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А.В. Царева» заменить словами «Контроль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области».</w:t>
      </w:r>
    </w:p>
    <w:p w:rsidR="00E730B7" w:rsidRDefault="00E730B7" w:rsidP="00E730B7">
      <w:pPr>
        <w:jc w:val="both"/>
        <w:rPr>
          <w:sz w:val="28"/>
          <w:szCs w:val="28"/>
        </w:rPr>
      </w:pPr>
    </w:p>
    <w:p w:rsidR="00E730B7" w:rsidRDefault="00E730B7" w:rsidP="00E730B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E730B7" w:rsidRDefault="00E730B7" w:rsidP="00E730B7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30B7" w:rsidRDefault="00E730B7" w:rsidP="00E730B7">
      <w:pPr>
        <w:ind w:firstLine="349"/>
        <w:jc w:val="both"/>
        <w:rPr>
          <w:sz w:val="28"/>
          <w:szCs w:val="28"/>
        </w:rPr>
      </w:pPr>
    </w:p>
    <w:p w:rsidR="00E730B7" w:rsidRDefault="00E730B7" w:rsidP="00E730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A6E55" w:rsidRDefault="00E730B7" w:rsidP="00E730B7">
      <w:pPr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  <w:t xml:space="preserve">                               А.Н. Васильев</w:t>
      </w: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79" w:rsidRDefault="004D4679" w:rsidP="00FC6C01">
      <w:r>
        <w:separator/>
      </w:r>
    </w:p>
  </w:endnote>
  <w:endnote w:type="continuationSeparator" w:id="0">
    <w:p w:rsidR="004D4679" w:rsidRDefault="004D467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79" w:rsidRDefault="004D4679" w:rsidP="00FC6C01">
      <w:r>
        <w:separator/>
      </w:r>
    </w:p>
  </w:footnote>
  <w:footnote w:type="continuationSeparator" w:id="0">
    <w:p w:rsidR="004D4679" w:rsidRDefault="004D467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067FC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2489"/>
    <w:rsid w:val="003D39F7"/>
    <w:rsid w:val="003D6139"/>
    <w:rsid w:val="003D666C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D4679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26C0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3EFF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30B7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195A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7713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3378-0D03-41E7-8551-379B01CE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2023-01-24T07:43:00Z</cp:lastPrinted>
  <dcterms:created xsi:type="dcterms:W3CDTF">2023-01-31T06:59:00Z</dcterms:created>
  <dcterms:modified xsi:type="dcterms:W3CDTF">2023-01-31T06:59:00Z</dcterms:modified>
</cp:coreProperties>
</file>