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62147">
        <w:rPr>
          <w:sz w:val="28"/>
          <w:szCs w:val="28"/>
          <w:u w:val="single"/>
        </w:rPr>
        <w:t>19.02.2026г.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62147">
        <w:rPr>
          <w:sz w:val="28"/>
          <w:szCs w:val="28"/>
        </w:rPr>
        <w:t xml:space="preserve"> 151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382A" w:rsidRDefault="0010382A" w:rsidP="0010382A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tbl>
      <w:tblPr>
        <w:tblStyle w:val="affd"/>
        <w:tblW w:w="9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5"/>
      </w:tblGrid>
      <w:tr w:rsidR="0010382A" w:rsidTr="007F4C28">
        <w:tc>
          <w:tcPr>
            <w:tcW w:w="4957" w:type="dxa"/>
          </w:tcPr>
          <w:p w:rsidR="0010382A" w:rsidRDefault="0010382A" w:rsidP="0010382A">
            <w:pPr>
              <w:ind w:left="-105" w:right="450"/>
              <w:jc w:val="both"/>
              <w:rPr>
                <w:sz w:val="28"/>
                <w:szCs w:val="28"/>
              </w:rPr>
            </w:pPr>
            <w:r w:rsidRPr="007D7BBC">
              <w:rPr>
                <w:sz w:val="28"/>
                <w:szCs w:val="28"/>
              </w:rPr>
      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</w:t>
            </w:r>
            <w:r>
              <w:rPr>
                <w:sz w:val="28"/>
                <w:szCs w:val="28"/>
              </w:rPr>
              <w:t>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7D7BBC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815" w:type="dxa"/>
          </w:tcPr>
          <w:p w:rsidR="0010382A" w:rsidRDefault="0010382A" w:rsidP="007F4C28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10382A" w:rsidRDefault="0010382A" w:rsidP="0010382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</w:p>
    <w:p w:rsidR="0010382A" w:rsidRDefault="0010382A" w:rsidP="0010382A">
      <w:pPr>
        <w:ind w:firstLine="709"/>
        <w:jc w:val="both"/>
        <w:rPr>
          <w:sz w:val="28"/>
          <w:szCs w:val="28"/>
        </w:rPr>
      </w:pPr>
      <w:r w:rsidRPr="00E840B2">
        <w:rPr>
          <w:sz w:val="28"/>
          <w:szCs w:val="28"/>
        </w:rPr>
        <w:t>В соответствии с федеральными законами от 22.11.95 № 171-ФЗ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23.12.2020 № 2220 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руководствуясь Уставом муниципального образования «</w:t>
      </w:r>
      <w:proofErr w:type="spellStart"/>
      <w:r w:rsidRPr="00E840B2">
        <w:rPr>
          <w:sz w:val="28"/>
          <w:szCs w:val="28"/>
        </w:rPr>
        <w:t>Шумячский</w:t>
      </w:r>
      <w:proofErr w:type="spellEnd"/>
      <w:r w:rsidRPr="00E840B2">
        <w:rPr>
          <w:sz w:val="28"/>
          <w:szCs w:val="28"/>
        </w:rPr>
        <w:t xml:space="preserve"> муниципальный округ» Смоленской области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7D7BBC">
        <w:rPr>
          <w:sz w:val="28"/>
          <w:szCs w:val="28"/>
        </w:rPr>
        <w:t>» Смоленской области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>П О С Т А Н О В Л Я Е Т: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 xml:space="preserve"> 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lastRenderedPageBreak/>
        <w:t>1. Определить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в размере 30 метров: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7BBC">
        <w:rPr>
          <w:sz w:val="28"/>
          <w:szCs w:val="28"/>
        </w:rPr>
        <w:t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7BBC">
        <w:rPr>
          <w:sz w:val="28"/>
          <w:szCs w:val="28"/>
        </w:rPr>
        <w:t>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7BBC">
        <w:rPr>
          <w:sz w:val="28"/>
          <w:szCs w:val="28"/>
        </w:rPr>
        <w:t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7BBC">
        <w:rPr>
          <w:sz w:val="28"/>
          <w:szCs w:val="28"/>
        </w:rPr>
        <w:t>к спортивным сооружениям, которые являются объектами недвижимости и права, на которые зарегистрированы в установленном порядке;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>- к боевым позициям войск, полигонам, узлам связи, в расположении воинских частей, на специальных технологических комплексах,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>- к вокзалам, к аэропортам;</w:t>
      </w:r>
    </w:p>
    <w:p w:rsidR="0010382A" w:rsidRPr="007D7BBC" w:rsidRDefault="0010382A" w:rsidP="0010382A">
      <w:pPr>
        <w:jc w:val="both"/>
        <w:rPr>
          <w:sz w:val="28"/>
          <w:szCs w:val="28"/>
        </w:rPr>
      </w:pPr>
      <w:r w:rsidRPr="007D7BBC">
        <w:rPr>
          <w:sz w:val="28"/>
          <w:szCs w:val="28"/>
        </w:rPr>
        <w:t xml:space="preserve">          - к местам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>2. Утвердить способ расчета расстояния от организаций или объектов до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питания: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7BBC">
        <w:rPr>
          <w:sz w:val="28"/>
          <w:szCs w:val="28"/>
        </w:rPr>
        <w:t>при наличии обособленной территории по прямой линии (вне зависимости от наличия пешеходной зоны) от входа для посетителей на обособленную территорию до входа для посетителей в стационарный торговый объект;</w:t>
      </w:r>
    </w:p>
    <w:p w:rsidR="0010382A" w:rsidRPr="007D7BBC" w:rsidRDefault="0010382A" w:rsidP="00103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</w:t>
      </w:r>
      <w:r w:rsidRPr="007D7B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7BBC">
        <w:rPr>
          <w:sz w:val="28"/>
          <w:szCs w:val="28"/>
        </w:rPr>
        <w:t xml:space="preserve">при отсутствии обособленной территории по прямой линии (вне зависимости от наличия пешеходной зоны) от входа для посетителей в здание </w:t>
      </w:r>
      <w:r w:rsidRPr="007D7BBC">
        <w:rPr>
          <w:sz w:val="28"/>
          <w:szCs w:val="28"/>
        </w:rPr>
        <w:lastRenderedPageBreak/>
        <w:t>(строение) в котором расположены организации и объекты, до входа для посетителей в стационарный торговый объект.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>В случае если вышеуказанные объекты имеют более одного входа для посетителей, то прилегающая территория определяется от каждого входа, за исключением входов, которые не используются для входа посетителей (пожарные, запасные).</w:t>
      </w:r>
    </w:p>
    <w:p w:rsidR="0010382A" w:rsidRDefault="0010382A" w:rsidP="0010382A">
      <w:pPr>
        <w:ind w:firstLine="709"/>
        <w:jc w:val="both"/>
        <w:rPr>
          <w:sz w:val="28"/>
          <w:szCs w:val="28"/>
        </w:rPr>
      </w:pPr>
      <w:r w:rsidRPr="007D7BBC">
        <w:rPr>
          <w:sz w:val="28"/>
          <w:szCs w:val="28"/>
        </w:rPr>
        <w:t xml:space="preserve">3. </w:t>
      </w:r>
      <w:r w:rsidRPr="00E840B2">
        <w:rPr>
          <w:sz w:val="28"/>
          <w:szCs w:val="28"/>
        </w:rPr>
        <w:t xml:space="preserve">Определить границы прилегающих к многоквартирным домам территорий, на которых не допускается розничная продажа алкогольной продукции при оказании услуг общественного питания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E840B2">
        <w:rPr>
          <w:sz w:val="28"/>
          <w:szCs w:val="28"/>
        </w:rPr>
        <w:t xml:space="preserve"> на расстоянии 50 метров от многоквартирных домов в соответствии с пунктом 2 стать</w:t>
      </w:r>
      <w:r>
        <w:rPr>
          <w:sz w:val="28"/>
          <w:szCs w:val="28"/>
        </w:rPr>
        <w:t>и 2, статьями 3</w:t>
      </w:r>
      <w:r w:rsidRPr="00E840B2">
        <w:rPr>
          <w:sz w:val="28"/>
          <w:szCs w:val="28"/>
        </w:rPr>
        <w:t>, 5 областн</w:t>
      </w:r>
      <w:r>
        <w:rPr>
          <w:sz w:val="28"/>
          <w:szCs w:val="28"/>
        </w:rPr>
        <w:t xml:space="preserve">ого закона от 27.11.2024 № 201-з </w:t>
      </w:r>
      <w:r w:rsidRPr="00E840B2">
        <w:rPr>
          <w:sz w:val="28"/>
          <w:szCs w:val="28"/>
        </w:rPr>
        <w:t>«О регулировании отдельных вопросов в сфере розничной продажи алкогольной продукции на территории Смоленской области</w:t>
      </w:r>
      <w:r>
        <w:rPr>
          <w:sz w:val="28"/>
          <w:szCs w:val="28"/>
        </w:rPr>
        <w:t>».</w:t>
      </w:r>
    </w:p>
    <w:p w:rsidR="0010382A" w:rsidRPr="007D7BBC" w:rsidRDefault="0010382A" w:rsidP="00103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Расстояние, указанное в пункте 3</w:t>
      </w:r>
      <w:r w:rsidRPr="00E840B2">
        <w:rPr>
          <w:sz w:val="28"/>
          <w:szCs w:val="28"/>
        </w:rPr>
        <w:t xml:space="preserve"> настоящего постановления, определяется от стены многоквартирного дома (включая встроенные и встроенно-пристроенные помещения) по всему периметру здания по прямой линии без учета рельефа территории, искусственных и естественных преград.</w:t>
      </w:r>
    </w:p>
    <w:p w:rsidR="0010382A" w:rsidRPr="007D7BBC" w:rsidRDefault="0010382A" w:rsidP="00103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5. Признать утратившим силу </w:t>
      </w:r>
      <w:r w:rsidRPr="007D7BBC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7D7BBC">
        <w:rPr>
          <w:sz w:val="28"/>
          <w:szCs w:val="28"/>
        </w:rPr>
        <w:t>Шумяч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7D7BBC">
        <w:rPr>
          <w:sz w:val="28"/>
          <w:szCs w:val="28"/>
        </w:rPr>
        <w:t xml:space="preserve">» Смоленской области   </w:t>
      </w:r>
      <w:r w:rsidRPr="00E840B2">
        <w:rPr>
          <w:sz w:val="28"/>
          <w:szCs w:val="28"/>
        </w:rPr>
        <w:t xml:space="preserve">от   15.01.2025г.  № 29 </w:t>
      </w:r>
      <w:r w:rsidRPr="002F782E">
        <w:rPr>
          <w:sz w:val="28"/>
          <w:szCs w:val="28"/>
        </w:rPr>
        <w:t>«</w:t>
      </w:r>
      <w:r w:rsidRPr="00E840B2">
        <w:rPr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«</w:t>
      </w:r>
      <w:proofErr w:type="spellStart"/>
      <w:r w:rsidRPr="00E840B2">
        <w:rPr>
          <w:sz w:val="28"/>
          <w:szCs w:val="28"/>
        </w:rPr>
        <w:t>Шумячский</w:t>
      </w:r>
      <w:proofErr w:type="spellEnd"/>
      <w:r w:rsidRPr="00E840B2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».</w:t>
      </w:r>
    </w:p>
    <w:p w:rsidR="0010382A" w:rsidRDefault="0010382A" w:rsidP="00103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6. Опубликовать настоящее</w:t>
      </w:r>
      <w:r w:rsidRPr="007D7BBC">
        <w:rPr>
          <w:sz w:val="28"/>
          <w:szCs w:val="28"/>
        </w:rPr>
        <w:t xml:space="preserve"> постановление в га</w:t>
      </w:r>
      <w:r>
        <w:rPr>
          <w:sz w:val="28"/>
          <w:szCs w:val="28"/>
        </w:rPr>
        <w:t>зете «</w:t>
      </w:r>
      <w:proofErr w:type="spellStart"/>
      <w:r>
        <w:rPr>
          <w:sz w:val="28"/>
          <w:szCs w:val="28"/>
        </w:rPr>
        <w:t>Шумячка</w:t>
      </w:r>
      <w:proofErr w:type="spellEnd"/>
      <w:r w:rsidRPr="007D7BBC">
        <w:rPr>
          <w:sz w:val="28"/>
          <w:szCs w:val="28"/>
        </w:rPr>
        <w:t>».</w:t>
      </w:r>
    </w:p>
    <w:p w:rsidR="0010382A" w:rsidRPr="007D7BBC" w:rsidRDefault="0010382A" w:rsidP="00103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Pr="007D7BBC">
        <w:rPr>
          <w:rFonts w:ascii="Arial" w:hAnsi="Arial"/>
          <w:sz w:val="28"/>
          <w:szCs w:val="28"/>
        </w:rPr>
        <w:t xml:space="preserve">. </w:t>
      </w:r>
      <w:r w:rsidRPr="007D7BBC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7D7BBC">
        <w:rPr>
          <w:sz w:val="28"/>
          <w:szCs w:val="28"/>
        </w:rPr>
        <w:t>» Смоле</w:t>
      </w:r>
      <w:r>
        <w:rPr>
          <w:sz w:val="28"/>
          <w:szCs w:val="28"/>
        </w:rPr>
        <w:t>нской области курирующего вопросы экономики, комплексного развития и инвестиционной деятельности</w:t>
      </w:r>
      <w:r w:rsidRPr="007D7BBC">
        <w:rPr>
          <w:sz w:val="28"/>
          <w:szCs w:val="28"/>
        </w:rPr>
        <w:t xml:space="preserve">.  </w:t>
      </w:r>
    </w:p>
    <w:p w:rsidR="0010382A" w:rsidRDefault="0010382A" w:rsidP="0010382A">
      <w:pPr>
        <w:jc w:val="both"/>
        <w:rPr>
          <w:sz w:val="28"/>
          <w:szCs w:val="28"/>
        </w:rPr>
      </w:pPr>
    </w:p>
    <w:p w:rsidR="0010382A" w:rsidRDefault="0010382A" w:rsidP="0010382A">
      <w:pPr>
        <w:jc w:val="both"/>
        <w:rPr>
          <w:sz w:val="28"/>
          <w:szCs w:val="28"/>
        </w:rPr>
      </w:pPr>
    </w:p>
    <w:p w:rsidR="0010382A" w:rsidRPr="007D7BBC" w:rsidRDefault="0010382A" w:rsidP="0010382A">
      <w:pPr>
        <w:jc w:val="both"/>
        <w:rPr>
          <w:sz w:val="28"/>
          <w:szCs w:val="28"/>
        </w:rPr>
      </w:pPr>
    </w:p>
    <w:p w:rsidR="0010382A" w:rsidRPr="007D7BBC" w:rsidRDefault="0010382A" w:rsidP="001038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Главы</w:t>
      </w:r>
      <w:r w:rsidRPr="007D7BBC">
        <w:rPr>
          <w:sz w:val="28"/>
          <w:szCs w:val="28"/>
        </w:rPr>
        <w:t xml:space="preserve"> муниципального образования</w:t>
      </w:r>
    </w:p>
    <w:p w:rsidR="0010382A" w:rsidRDefault="0010382A" w:rsidP="0010382A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7D7BBC">
        <w:rPr>
          <w:sz w:val="28"/>
          <w:szCs w:val="28"/>
        </w:rPr>
        <w:t xml:space="preserve">» </w:t>
      </w:r>
    </w:p>
    <w:p w:rsidR="0010382A" w:rsidRPr="00712F0D" w:rsidRDefault="0010382A" w:rsidP="0010382A">
      <w:pPr>
        <w:rPr>
          <w:sz w:val="28"/>
          <w:szCs w:val="28"/>
        </w:rPr>
      </w:pPr>
      <w:r w:rsidRPr="007D7BBC">
        <w:rPr>
          <w:sz w:val="28"/>
          <w:szCs w:val="28"/>
        </w:rPr>
        <w:t>Смоленской области</w:t>
      </w:r>
      <w:r w:rsidRPr="007D7BBC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                            </w:t>
      </w:r>
      <w:r w:rsidRPr="007D7BBC">
        <w:rPr>
          <w:sz w:val="28"/>
          <w:szCs w:val="28"/>
        </w:rPr>
        <w:t xml:space="preserve"> </w:t>
      </w:r>
      <w:r>
        <w:rPr>
          <w:sz w:val="28"/>
          <w:szCs w:val="28"/>
        </w:rPr>
        <w:t>Н.М. Дмитриева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10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077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9D3" w:rsidRDefault="005509D3">
      <w:r>
        <w:separator/>
      </w:r>
    </w:p>
  </w:endnote>
  <w:endnote w:type="continuationSeparator" w:id="0">
    <w:p w:rsidR="005509D3" w:rsidRDefault="0055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9D3" w:rsidRDefault="005509D3">
      <w:r>
        <w:separator/>
      </w:r>
    </w:p>
  </w:footnote>
  <w:footnote w:type="continuationSeparator" w:id="0">
    <w:p w:rsidR="005509D3" w:rsidRDefault="00550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5812061"/>
      <w:docPartObj>
        <w:docPartGallery w:val="Page Numbers (Top of Page)"/>
        <w:docPartUnique/>
      </w:docPartObj>
    </w:sdtPr>
    <w:sdtEndPr/>
    <w:sdtContent>
      <w:p w:rsidR="002D4797" w:rsidRDefault="002D4797">
        <w:pPr>
          <w:pStyle w:val="a5"/>
          <w:jc w:val="center"/>
        </w:pPr>
      </w:p>
      <w:p w:rsidR="002D4797" w:rsidRDefault="002D4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382A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0A5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4797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09D3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4271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2791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061A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147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559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B840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2026-02-19T12:12:00Z</cp:lastPrinted>
  <dcterms:created xsi:type="dcterms:W3CDTF">2026-03-04T08:56:00Z</dcterms:created>
  <dcterms:modified xsi:type="dcterms:W3CDTF">2026-03-04T08:56:00Z</dcterms:modified>
</cp:coreProperties>
</file>