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B93D98">
        <w:rPr>
          <w:sz w:val="28"/>
          <w:szCs w:val="28"/>
          <w:u w:val="single"/>
        </w:rPr>
        <w:t>31</w:t>
      </w:r>
      <w:proofErr w:type="gramEnd"/>
      <w:r w:rsidR="00B93D98">
        <w:rPr>
          <w:sz w:val="28"/>
          <w:szCs w:val="28"/>
          <w:u w:val="single"/>
        </w:rPr>
        <w:t>.05.2021г.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B93D98">
        <w:rPr>
          <w:sz w:val="28"/>
          <w:szCs w:val="28"/>
        </w:rPr>
        <w:t xml:space="preserve"> 198-р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3F083E" w:rsidRDefault="003F083E" w:rsidP="003F083E">
      <w:pPr>
        <w:tabs>
          <w:tab w:val="right" w:pos="10206"/>
        </w:tabs>
        <w:rPr>
          <w:sz w:val="28"/>
          <w:szCs w:val="28"/>
        </w:rPr>
      </w:pPr>
    </w:p>
    <w:p w:rsidR="003F083E" w:rsidRPr="003F083E" w:rsidRDefault="003F083E" w:rsidP="003F083E">
      <w:pPr>
        <w:tabs>
          <w:tab w:val="right" w:pos="10206"/>
        </w:tabs>
        <w:rPr>
          <w:sz w:val="28"/>
          <w:szCs w:val="28"/>
        </w:rPr>
      </w:pPr>
      <w:proofErr w:type="gramStart"/>
      <w:r w:rsidRPr="003F083E">
        <w:rPr>
          <w:sz w:val="28"/>
          <w:szCs w:val="28"/>
        </w:rPr>
        <w:t>О  списании</w:t>
      </w:r>
      <w:proofErr w:type="gramEnd"/>
      <w:r w:rsidRPr="003F083E">
        <w:rPr>
          <w:sz w:val="28"/>
          <w:szCs w:val="28"/>
        </w:rPr>
        <w:t xml:space="preserve"> объектов </w:t>
      </w:r>
    </w:p>
    <w:p w:rsidR="003F083E" w:rsidRPr="003F083E" w:rsidRDefault="003F083E" w:rsidP="003F083E">
      <w:pPr>
        <w:tabs>
          <w:tab w:val="right" w:pos="10206"/>
        </w:tabs>
        <w:rPr>
          <w:sz w:val="28"/>
          <w:szCs w:val="28"/>
        </w:rPr>
      </w:pPr>
      <w:r w:rsidRPr="003F083E">
        <w:rPr>
          <w:sz w:val="28"/>
          <w:szCs w:val="28"/>
        </w:rPr>
        <w:t xml:space="preserve">основных средств </w:t>
      </w:r>
    </w:p>
    <w:p w:rsidR="003F083E" w:rsidRPr="003F083E" w:rsidRDefault="003F083E" w:rsidP="003F083E">
      <w:pPr>
        <w:tabs>
          <w:tab w:val="right" w:pos="10206"/>
        </w:tabs>
        <w:rPr>
          <w:sz w:val="28"/>
          <w:szCs w:val="28"/>
        </w:rPr>
      </w:pPr>
      <w:r w:rsidRPr="003F083E">
        <w:rPr>
          <w:sz w:val="28"/>
          <w:szCs w:val="28"/>
        </w:rPr>
        <w:t xml:space="preserve">         </w:t>
      </w:r>
    </w:p>
    <w:p w:rsidR="003F083E" w:rsidRPr="003F083E" w:rsidRDefault="003F083E" w:rsidP="003F083E">
      <w:pPr>
        <w:tabs>
          <w:tab w:val="right" w:pos="10206"/>
        </w:tabs>
        <w:jc w:val="both"/>
        <w:rPr>
          <w:sz w:val="28"/>
          <w:szCs w:val="28"/>
        </w:rPr>
      </w:pPr>
      <w:r w:rsidRPr="003F083E">
        <w:rPr>
          <w:sz w:val="28"/>
          <w:szCs w:val="28"/>
        </w:rPr>
        <w:t xml:space="preserve">           В соответствии с постановлением Администрации муниципального образования «Шумячский район» Смоленской области от 30.05.2018г. № 273 «Об утверждении Административного регламента исполнения Администрацией муниципального образования «Шумячский район» Смоленской области функции «Согласование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 Шумячского района Смоленской области в новой редакции», на основании служебной записки Отдела бухгалтерского учета </w:t>
      </w:r>
      <w:proofErr w:type="spellStart"/>
      <w:r w:rsidRPr="003F083E">
        <w:rPr>
          <w:sz w:val="28"/>
          <w:szCs w:val="28"/>
        </w:rPr>
        <w:t>Администрациии</w:t>
      </w:r>
      <w:proofErr w:type="spellEnd"/>
      <w:r w:rsidRPr="003F083E">
        <w:rPr>
          <w:sz w:val="28"/>
          <w:szCs w:val="28"/>
        </w:rPr>
        <w:t xml:space="preserve"> муниципального образования «Шумячский район» Смоленской области от 25.05.2021г. </w:t>
      </w:r>
    </w:p>
    <w:p w:rsidR="003F083E" w:rsidRPr="003F083E" w:rsidRDefault="003F083E" w:rsidP="003F083E">
      <w:pPr>
        <w:tabs>
          <w:tab w:val="right" w:pos="10206"/>
        </w:tabs>
        <w:jc w:val="both"/>
        <w:rPr>
          <w:sz w:val="28"/>
          <w:szCs w:val="28"/>
        </w:rPr>
      </w:pPr>
      <w:r w:rsidRPr="003F083E">
        <w:rPr>
          <w:sz w:val="28"/>
          <w:szCs w:val="28"/>
        </w:rPr>
        <w:t xml:space="preserve">     </w:t>
      </w:r>
    </w:p>
    <w:p w:rsidR="003F083E" w:rsidRPr="003F083E" w:rsidRDefault="003F083E" w:rsidP="003F083E">
      <w:pPr>
        <w:numPr>
          <w:ilvl w:val="0"/>
          <w:numId w:val="18"/>
        </w:numPr>
        <w:tabs>
          <w:tab w:val="right" w:pos="10206"/>
        </w:tabs>
        <w:contextualSpacing/>
        <w:jc w:val="both"/>
        <w:rPr>
          <w:sz w:val="28"/>
          <w:szCs w:val="28"/>
        </w:rPr>
      </w:pPr>
      <w:r w:rsidRPr="003F083E">
        <w:rPr>
          <w:sz w:val="28"/>
          <w:szCs w:val="28"/>
        </w:rPr>
        <w:t>Списать:</w:t>
      </w:r>
    </w:p>
    <w:p w:rsidR="003F083E" w:rsidRPr="003F083E" w:rsidRDefault="003F083E" w:rsidP="003F083E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 w:rsidRPr="003F083E">
        <w:rPr>
          <w:sz w:val="28"/>
          <w:szCs w:val="28"/>
        </w:rPr>
        <w:t xml:space="preserve">- монитор, 2007 года выпуска, балансовой стоимостью 6 254,00 рубля 00 копеек, </w:t>
      </w:r>
    </w:p>
    <w:p w:rsidR="003F083E" w:rsidRPr="003F083E" w:rsidRDefault="003F083E" w:rsidP="003F083E">
      <w:pPr>
        <w:tabs>
          <w:tab w:val="right" w:pos="10206"/>
        </w:tabs>
        <w:jc w:val="both"/>
        <w:rPr>
          <w:sz w:val="28"/>
          <w:szCs w:val="28"/>
        </w:rPr>
      </w:pPr>
      <w:r w:rsidRPr="003F083E">
        <w:rPr>
          <w:sz w:val="28"/>
          <w:szCs w:val="28"/>
        </w:rPr>
        <w:t>остаточной стоимостью 0,00 рублей, инвентарный номер 110104101;</w:t>
      </w:r>
    </w:p>
    <w:p w:rsidR="003F083E" w:rsidRPr="003F083E" w:rsidRDefault="003F083E" w:rsidP="003F083E">
      <w:pPr>
        <w:tabs>
          <w:tab w:val="right" w:pos="10206"/>
        </w:tabs>
        <w:ind w:firstLine="525"/>
        <w:jc w:val="both"/>
        <w:rPr>
          <w:sz w:val="28"/>
          <w:szCs w:val="28"/>
        </w:rPr>
      </w:pPr>
      <w:r w:rsidRPr="003F083E">
        <w:rPr>
          <w:sz w:val="28"/>
          <w:szCs w:val="28"/>
        </w:rPr>
        <w:t xml:space="preserve">- системный блок </w:t>
      </w:r>
      <w:r w:rsidRPr="003F083E">
        <w:rPr>
          <w:sz w:val="28"/>
          <w:szCs w:val="28"/>
          <w:lang w:val="en-US"/>
        </w:rPr>
        <w:t>OLDI</w:t>
      </w:r>
      <w:r w:rsidRPr="003F083E">
        <w:rPr>
          <w:sz w:val="28"/>
          <w:szCs w:val="28"/>
        </w:rPr>
        <w:t>, 2008 года выпуска, балансовой стоимостью 11 460 рублей 00 копеек, остаточной стоимостью 0,00 рублей, инвентарный номер 110104125;</w:t>
      </w:r>
    </w:p>
    <w:tbl>
      <w:tblPr>
        <w:tblW w:w="10741" w:type="dxa"/>
        <w:tblLook w:val="04A0" w:firstRow="1" w:lastRow="0" w:firstColumn="1" w:lastColumn="0" w:noHBand="0" w:noVBand="1"/>
      </w:tblPr>
      <w:tblGrid>
        <w:gridCol w:w="10314"/>
        <w:gridCol w:w="427"/>
      </w:tblGrid>
      <w:tr w:rsidR="003F083E" w:rsidRPr="003F083E" w:rsidTr="003F083E">
        <w:tc>
          <w:tcPr>
            <w:tcW w:w="10741" w:type="dxa"/>
            <w:gridSpan w:val="2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ind w:left="-108"/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- сотовый телефон </w:t>
            </w:r>
            <w:r w:rsidRPr="003F083E">
              <w:rPr>
                <w:sz w:val="28"/>
                <w:szCs w:val="28"/>
                <w:lang w:val="en-US"/>
              </w:rPr>
              <w:t>Nokia</w:t>
            </w:r>
            <w:r w:rsidRPr="003F083E">
              <w:rPr>
                <w:sz w:val="28"/>
                <w:szCs w:val="28"/>
              </w:rPr>
              <w:t xml:space="preserve"> </w:t>
            </w:r>
            <w:r w:rsidRPr="003F083E">
              <w:rPr>
                <w:sz w:val="28"/>
                <w:szCs w:val="28"/>
                <w:lang w:val="en-US"/>
              </w:rPr>
              <w:t>C</w:t>
            </w:r>
            <w:r w:rsidRPr="003F083E">
              <w:rPr>
                <w:sz w:val="28"/>
                <w:szCs w:val="28"/>
              </w:rPr>
              <w:t xml:space="preserve">7-00 </w:t>
            </w:r>
            <w:r w:rsidRPr="003F083E">
              <w:rPr>
                <w:sz w:val="28"/>
                <w:szCs w:val="28"/>
                <w:lang w:val="en-US"/>
              </w:rPr>
              <w:t>Black</w:t>
            </w:r>
            <w:r w:rsidRPr="003F083E">
              <w:rPr>
                <w:sz w:val="28"/>
                <w:szCs w:val="28"/>
              </w:rPr>
              <w:t xml:space="preserve"> </w:t>
            </w:r>
            <w:r w:rsidRPr="003F083E">
              <w:rPr>
                <w:sz w:val="28"/>
                <w:szCs w:val="28"/>
                <w:lang w:val="en-US"/>
              </w:rPr>
              <w:t>S</w:t>
            </w:r>
            <w:r w:rsidRPr="003F083E">
              <w:rPr>
                <w:sz w:val="28"/>
                <w:szCs w:val="28"/>
              </w:rPr>
              <w:t>/</w:t>
            </w:r>
            <w:r w:rsidRPr="003F083E">
              <w:rPr>
                <w:sz w:val="28"/>
                <w:szCs w:val="28"/>
                <w:lang w:val="en-US"/>
              </w:rPr>
              <w:t>N</w:t>
            </w:r>
            <w:r w:rsidRPr="003F083E">
              <w:rPr>
                <w:sz w:val="28"/>
                <w:szCs w:val="28"/>
              </w:rPr>
              <w:t xml:space="preserve"> , 2011 года выпуска, балансовой стоимостью 12 990 рублей 00 копеек, остаточной стоимостью 0,00 рублей, инвентарный номер 110134157;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компьютер (системный блок, монитор, ИБП, клавиатура, манипулятор «мышь»), 2006 года выпуска, балансовой стоимостью 23</w:t>
            </w:r>
            <w:r w:rsidRPr="003F083E">
              <w:rPr>
                <w:sz w:val="28"/>
                <w:szCs w:val="28"/>
                <w:lang w:val="en-US"/>
              </w:rPr>
              <w:t> </w:t>
            </w:r>
            <w:r w:rsidRPr="003F083E">
              <w:rPr>
                <w:sz w:val="28"/>
                <w:szCs w:val="28"/>
              </w:rPr>
              <w:t>327 рублей 20 копеек, остаточной стоимостью 0, 00 рублей, инвентарный номер 110104086;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компьютер (системный блок, монитор, колонки, сетевой фильтр, ИБП, коммутатор, процессор, жесткий диск, клавиатура, манипулятор «мышь»), 2008 года выпуска, балансовой стоимостью 21</w:t>
            </w:r>
            <w:r w:rsidRPr="003F083E">
              <w:rPr>
                <w:sz w:val="28"/>
                <w:szCs w:val="28"/>
                <w:lang w:val="en-US"/>
              </w:rPr>
              <w:t> </w:t>
            </w:r>
            <w:r w:rsidRPr="003F083E">
              <w:rPr>
                <w:sz w:val="28"/>
                <w:szCs w:val="28"/>
              </w:rPr>
              <w:t>880 рублей 00 копеек, остаточной стоимостью 0, 00 рублей, инвентарный номер 110104121;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принтер </w:t>
            </w:r>
            <w:r w:rsidRPr="003F083E">
              <w:rPr>
                <w:sz w:val="28"/>
                <w:szCs w:val="28"/>
                <w:lang w:val="en-US"/>
              </w:rPr>
              <w:t>Samsung</w:t>
            </w:r>
            <w:r w:rsidRPr="003F083E">
              <w:rPr>
                <w:sz w:val="28"/>
                <w:szCs w:val="28"/>
              </w:rPr>
              <w:t xml:space="preserve"> </w:t>
            </w:r>
            <w:r w:rsidRPr="003F083E">
              <w:rPr>
                <w:sz w:val="28"/>
                <w:szCs w:val="28"/>
                <w:lang w:val="en-US"/>
              </w:rPr>
              <w:t>ML</w:t>
            </w:r>
            <w:r w:rsidRPr="003F083E">
              <w:rPr>
                <w:sz w:val="28"/>
                <w:szCs w:val="28"/>
              </w:rPr>
              <w:t xml:space="preserve">-1615, 2005 года выпуска, балансовой стоимостью  </w:t>
            </w:r>
            <w:r w:rsidRPr="003F083E">
              <w:rPr>
                <w:sz w:val="28"/>
                <w:szCs w:val="28"/>
                <w:lang w:val="en-US"/>
              </w:rPr>
              <w:t>5 293</w:t>
            </w:r>
            <w:r w:rsidRPr="003F083E">
              <w:rPr>
                <w:sz w:val="28"/>
                <w:szCs w:val="28"/>
              </w:rPr>
              <w:t xml:space="preserve"> рубля 29 копеек, остаточной стоимостью 0,00 рублей,   инвентарный номер 110104067;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холодильник, 2006 года выпуска, балансовой стоимостью  7 038 рублей 00 копеек, остаточной стоимостью 0,00 рублей, инвентарный номер 110106049;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lastRenderedPageBreak/>
              <w:t xml:space="preserve">       - телевизор, 2008 года выпуска, балансовой стоимостью 7 500 рублей 00 копеек, остаточной стоимостью 0,00 рублей, инвентарный номер 110134210;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принтер, 2013 года выпуска, балансовой стоимостью  3 800 рублей 00 копеек, остаточной стоимостью 0,00 рублей, инвентарный номер 110134236;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сканер, 2008 года выпуска, балансовой стоимостью 3 100 рублей 00 копеек, остаточной стоимостью 0,00 рублей, инвентарный номер 110134231;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сканер, 2011 года выпуска, балансовой стоимостью 6 990 рублей 00 копеек, остаточной стоимостью 0,00 рублей, инвентарный номер 110134234;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 - набор штор, 2007 года выпуска, балансовой стоимостью 29  700 рублей 00 копеек, остаточной стоимостью 0,00 рублей, инвентарный номер 110106077;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- тумба </w:t>
            </w:r>
            <w:proofErr w:type="spellStart"/>
            <w:r w:rsidRPr="003F083E">
              <w:rPr>
                <w:sz w:val="28"/>
                <w:szCs w:val="28"/>
              </w:rPr>
              <w:t>выкатная</w:t>
            </w:r>
            <w:proofErr w:type="spellEnd"/>
            <w:r w:rsidRPr="003F083E">
              <w:rPr>
                <w:sz w:val="28"/>
                <w:szCs w:val="28"/>
              </w:rPr>
              <w:t>, 2007 года выпуска, балансовой стоимостью 3 302 рубля 00 копеек, остаточной стоимостью 0,00 рублей, инвентарный номер 110136307;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- тумба </w:t>
            </w:r>
            <w:proofErr w:type="spellStart"/>
            <w:r w:rsidRPr="003F083E">
              <w:rPr>
                <w:sz w:val="28"/>
                <w:szCs w:val="28"/>
              </w:rPr>
              <w:t>выкатная</w:t>
            </w:r>
            <w:proofErr w:type="spellEnd"/>
            <w:r w:rsidRPr="003F083E">
              <w:rPr>
                <w:sz w:val="28"/>
                <w:szCs w:val="28"/>
              </w:rPr>
              <w:t>, 2007 года выпуска, балансовой стоимостью 3 302 рубля 00 копеек, остаточной стоимостью 0,00 рублей, инвентарный номер 110136308;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  <w:hideMark/>
          </w:tcPr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- шкаф бухгалтерский, 2007 года выпуска, балансовой стоимостью   4 347 рублей 00 копеек, остаточной стоимостью 0,00 рублей,   инвентарный номер 110136303, находящихся на балансе Администрации муниципального образования «Шумячский район» Смоленской области.</w:t>
            </w: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</w:tcPr>
          <w:p w:rsidR="003F083E" w:rsidRPr="003F083E" w:rsidRDefault="003F083E" w:rsidP="003F083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2. Утвердить прилагаемые акты о списании объектов нефинансовых активов (кроме транспортных средств) от 25.05.2021г. №№ 1-15. </w:t>
            </w:r>
          </w:p>
          <w:p w:rsidR="003F083E" w:rsidRPr="003F083E" w:rsidRDefault="003F083E" w:rsidP="003F083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      3. Отделу экономики и комплексного развития Администрации муниципального образования «Шумячский район» Смоленской области внести соответствующие изменения в реестр объектов муниципальной собственности.</w:t>
            </w:r>
          </w:p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3F083E" w:rsidRPr="003F083E" w:rsidTr="003F083E">
        <w:trPr>
          <w:gridAfter w:val="1"/>
          <w:wAfter w:w="427" w:type="dxa"/>
        </w:trPr>
        <w:tc>
          <w:tcPr>
            <w:tcW w:w="10314" w:type="dxa"/>
          </w:tcPr>
          <w:p w:rsidR="003F083E" w:rsidRPr="003F083E" w:rsidRDefault="003F083E" w:rsidP="003F083E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3F083E" w:rsidRPr="003F083E" w:rsidRDefault="003F083E" w:rsidP="003F083E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3F083E">
              <w:rPr>
                <w:sz w:val="28"/>
                <w:szCs w:val="28"/>
              </w:rPr>
              <w:t>«Шумячский район» Смоленской области                                               А.Н. Васильев</w:t>
            </w:r>
          </w:p>
          <w:p w:rsidR="003F083E" w:rsidRPr="003F083E" w:rsidRDefault="003F083E" w:rsidP="003F083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BC" w:rsidRDefault="008307BC">
      <w:r>
        <w:separator/>
      </w:r>
    </w:p>
  </w:endnote>
  <w:endnote w:type="continuationSeparator" w:id="0">
    <w:p w:rsidR="008307BC" w:rsidRDefault="0083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BC" w:rsidRDefault="008307BC">
      <w:r>
        <w:separator/>
      </w:r>
    </w:p>
  </w:footnote>
  <w:footnote w:type="continuationSeparator" w:id="0">
    <w:p w:rsidR="008307BC" w:rsidRDefault="0083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D98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EF7F2A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083E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07BC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343C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3D98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A6CE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3F083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3F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2021-05-28T07:54:00Z</cp:lastPrinted>
  <dcterms:created xsi:type="dcterms:W3CDTF">2021-06-01T12:04:00Z</dcterms:created>
  <dcterms:modified xsi:type="dcterms:W3CDTF">2021-06-01T12:04:00Z</dcterms:modified>
</cp:coreProperties>
</file>