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D2" w:rsidRDefault="00D205D2" w:rsidP="00D205D2">
      <w:pPr>
        <w:pStyle w:val="a5"/>
        <w:jc w:val="right"/>
        <w:rPr>
          <w:rFonts w:ascii="Times New Roman" w:hAnsi="Times New Roman" w:cs="Times New Roman"/>
        </w:rPr>
      </w:pPr>
    </w:p>
    <w:p w:rsidR="00620534" w:rsidRPr="00BA10E4" w:rsidRDefault="00F16E09" w:rsidP="00E2236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FA50E2" w:rsidRPr="00FA50E2" w:rsidRDefault="00DF1E4D" w:rsidP="00FA50E2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5.2pt;margin-top:7.35pt;width:16.5pt;height:36.95pt;z-index:251660288;mso-wrap-distance-left:9.05pt;mso-wrap-distance-right:9.05pt" strokecolor="white" strokeweight=".5pt">
            <v:fill opacity=".5" color2="black"/>
            <v:stroke color2="black"/>
            <v:textbox style="mso-next-textbox:#_x0000_s1026" inset="7.45pt,3.85pt,7.45pt,3.85pt">
              <w:txbxContent>
                <w:p w:rsidR="00FA50E2" w:rsidRDefault="00FA50E2" w:rsidP="00FA50E2"/>
              </w:txbxContent>
            </v:textbox>
          </v:shape>
        </w:pict>
      </w:r>
      <w:r w:rsidR="00FA50E2" w:rsidRPr="00FA50E2">
        <w:rPr>
          <w:rFonts w:ascii="Times New Roman" w:hAnsi="Times New Roman" w:cs="Times New Roman"/>
          <w:noProof/>
        </w:rPr>
        <w:drawing>
          <wp:inline distT="0" distB="0" distL="0" distR="0">
            <wp:extent cx="5143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0E2" w:rsidRPr="00FA50E2" w:rsidRDefault="00FA50E2" w:rsidP="00FA50E2">
      <w:pPr>
        <w:pStyle w:val="a5"/>
        <w:rPr>
          <w:rFonts w:ascii="Times New Roman" w:hAnsi="Times New Roman" w:cs="Times New Roman"/>
        </w:rPr>
      </w:pPr>
    </w:p>
    <w:p w:rsidR="00FA50E2" w:rsidRPr="00FA50E2" w:rsidRDefault="00FA50E2" w:rsidP="00FA50E2">
      <w:pPr>
        <w:pStyle w:val="a5"/>
        <w:jc w:val="center"/>
        <w:rPr>
          <w:rFonts w:ascii="Times New Roman" w:hAnsi="Times New Roman" w:cs="Times New Roman"/>
          <w:b/>
          <w:szCs w:val="28"/>
        </w:rPr>
      </w:pPr>
      <w:r w:rsidRPr="00FA50E2">
        <w:rPr>
          <w:rFonts w:ascii="Times New Roman" w:hAnsi="Times New Roman" w:cs="Times New Roman"/>
          <w:b/>
          <w:szCs w:val="28"/>
        </w:rPr>
        <w:t xml:space="preserve">СОВЕТ ДЕПУТАТОВ </w:t>
      </w:r>
      <w:r w:rsidR="00C70442">
        <w:rPr>
          <w:rFonts w:ascii="Times New Roman" w:hAnsi="Times New Roman" w:cs="Times New Roman"/>
          <w:b/>
          <w:szCs w:val="28"/>
        </w:rPr>
        <w:t>ПОНЯТОВСКОГО</w:t>
      </w:r>
      <w:r w:rsidRPr="00FA50E2">
        <w:rPr>
          <w:rFonts w:ascii="Times New Roman" w:hAnsi="Times New Roman" w:cs="Times New Roman"/>
          <w:b/>
          <w:szCs w:val="28"/>
        </w:rPr>
        <w:t xml:space="preserve"> СЕЛЬСКОГО ПОСЕЛЕНИЯ</w:t>
      </w:r>
    </w:p>
    <w:p w:rsidR="00FA50E2" w:rsidRPr="00FA50E2" w:rsidRDefault="00FA50E2" w:rsidP="00FA50E2">
      <w:pPr>
        <w:pStyle w:val="a5"/>
        <w:jc w:val="center"/>
        <w:rPr>
          <w:rFonts w:ascii="Times New Roman" w:hAnsi="Times New Roman" w:cs="Times New Roman"/>
          <w:b/>
          <w:szCs w:val="28"/>
        </w:rPr>
      </w:pPr>
      <w:r w:rsidRPr="00FA50E2">
        <w:rPr>
          <w:rFonts w:ascii="Times New Roman" w:hAnsi="Times New Roman" w:cs="Times New Roman"/>
          <w:b/>
          <w:szCs w:val="28"/>
        </w:rPr>
        <w:t>ШУМЯЧСКОГО РАЙОНА СМОЛЕНСКОЙ ОБЛАСТИ</w:t>
      </w:r>
    </w:p>
    <w:p w:rsidR="00FA50E2" w:rsidRPr="00FA50E2" w:rsidRDefault="00FA50E2" w:rsidP="00FA50E2">
      <w:pPr>
        <w:pStyle w:val="a5"/>
        <w:rPr>
          <w:rFonts w:ascii="Times New Roman" w:hAnsi="Times New Roman" w:cs="Times New Roman"/>
          <w:szCs w:val="28"/>
        </w:rPr>
      </w:pPr>
    </w:p>
    <w:p w:rsidR="00FA50E2" w:rsidRPr="00F16E09" w:rsidRDefault="007837D0" w:rsidP="00F16E09">
      <w:pPr>
        <w:pStyle w:val="a5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="00A3788C">
        <w:rPr>
          <w:rFonts w:ascii="Times New Roman" w:hAnsi="Times New Roman" w:cs="Times New Roman"/>
          <w:b/>
          <w:szCs w:val="28"/>
        </w:rPr>
        <w:t>РЕШЕНИ</w:t>
      </w:r>
      <w:r>
        <w:rPr>
          <w:rFonts w:ascii="Times New Roman" w:hAnsi="Times New Roman" w:cs="Times New Roman"/>
          <w:b/>
          <w:szCs w:val="28"/>
        </w:rPr>
        <w:t>Я</w:t>
      </w:r>
    </w:p>
    <w:p w:rsidR="00FA50E2" w:rsidRPr="00FA50E2" w:rsidRDefault="00FA50E2" w:rsidP="00FA50E2">
      <w:pPr>
        <w:pStyle w:val="a5"/>
        <w:rPr>
          <w:rFonts w:ascii="Times New Roman" w:hAnsi="Times New Roman" w:cs="Times New Roman"/>
        </w:rPr>
      </w:pPr>
    </w:p>
    <w:p w:rsidR="00355D5D" w:rsidRDefault="00933FE9" w:rsidP="00FA50E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FA50E2" w:rsidRPr="00355D5D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E22363">
        <w:rPr>
          <w:rFonts w:ascii="Times New Roman" w:hAnsi="Times New Roman" w:cs="Times New Roman"/>
          <w:b/>
          <w:sz w:val="26"/>
          <w:szCs w:val="26"/>
        </w:rPr>
        <w:t>18 апреля</w:t>
      </w:r>
      <w:r w:rsidR="00FA50E2" w:rsidRPr="00355D5D">
        <w:rPr>
          <w:rFonts w:ascii="Times New Roman" w:hAnsi="Times New Roman" w:cs="Times New Roman"/>
          <w:b/>
          <w:sz w:val="26"/>
          <w:szCs w:val="26"/>
        </w:rPr>
        <w:t xml:space="preserve">  2012 г</w:t>
      </w:r>
      <w:r w:rsidR="00355D5D">
        <w:rPr>
          <w:rFonts w:ascii="Times New Roman" w:hAnsi="Times New Roman" w:cs="Times New Roman"/>
          <w:b/>
          <w:sz w:val="26"/>
          <w:szCs w:val="26"/>
        </w:rPr>
        <w:t>.</w:t>
      </w:r>
    </w:p>
    <w:p w:rsidR="00355D5D" w:rsidRDefault="00933FE9" w:rsidP="00FA50E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355D5D">
        <w:rPr>
          <w:rFonts w:ascii="Times New Roman" w:hAnsi="Times New Roman" w:cs="Times New Roman"/>
          <w:b/>
          <w:sz w:val="26"/>
          <w:szCs w:val="26"/>
        </w:rPr>
        <w:t>т. Понятовка</w:t>
      </w:r>
      <w:r w:rsidR="00FA50E2" w:rsidRPr="00FA50E2">
        <w:rPr>
          <w:rFonts w:ascii="Times New Roman" w:hAnsi="Times New Roman" w:cs="Times New Roman"/>
          <w:sz w:val="26"/>
          <w:szCs w:val="26"/>
        </w:rPr>
        <w:t xml:space="preserve">  </w:t>
      </w:r>
      <w:r w:rsidR="00FA50E2" w:rsidRPr="00FA50E2">
        <w:rPr>
          <w:rFonts w:ascii="Times New Roman" w:hAnsi="Times New Roman" w:cs="Times New Roman"/>
          <w:sz w:val="26"/>
          <w:szCs w:val="26"/>
        </w:rPr>
        <w:tab/>
      </w:r>
      <w:r w:rsidR="00FA50E2" w:rsidRPr="00FA50E2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FA50E2" w:rsidRPr="00FA50E2">
        <w:rPr>
          <w:rFonts w:ascii="Times New Roman" w:hAnsi="Times New Roman" w:cs="Times New Roman"/>
          <w:b/>
          <w:sz w:val="26"/>
          <w:szCs w:val="26"/>
        </w:rPr>
        <w:tab/>
      </w:r>
      <w:r w:rsidR="00355D5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5210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D739CA">
        <w:rPr>
          <w:rFonts w:ascii="Times New Roman" w:hAnsi="Times New Roman" w:cs="Times New Roman"/>
          <w:b/>
          <w:sz w:val="26"/>
          <w:szCs w:val="26"/>
        </w:rPr>
        <w:t xml:space="preserve">    №</w:t>
      </w:r>
      <w:r w:rsidR="000E164F">
        <w:rPr>
          <w:rFonts w:ascii="Times New Roman" w:hAnsi="Times New Roman" w:cs="Times New Roman"/>
          <w:b/>
          <w:sz w:val="26"/>
          <w:szCs w:val="26"/>
        </w:rPr>
        <w:t>10</w:t>
      </w:r>
      <w:r w:rsidR="00355D5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A50E2" w:rsidRPr="00FA50E2" w:rsidRDefault="00FA50E2" w:rsidP="00FA50E2">
      <w:pPr>
        <w:pStyle w:val="a5"/>
        <w:rPr>
          <w:rFonts w:ascii="Times New Roman" w:hAnsi="Times New Roman" w:cs="Times New Roman"/>
          <w:b/>
        </w:rPr>
      </w:pPr>
      <w:r w:rsidRPr="00FA50E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</w:p>
    <w:p w:rsidR="00FA50E2" w:rsidRPr="00933FE9" w:rsidRDefault="00FA50E2" w:rsidP="00FA5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33FE9">
        <w:rPr>
          <w:rFonts w:ascii="Times New Roman" w:hAnsi="Times New Roman" w:cs="Times New Roman"/>
          <w:sz w:val="24"/>
          <w:szCs w:val="24"/>
        </w:rPr>
        <w:t xml:space="preserve"> «Об исполнении     бюджета    </w:t>
      </w:r>
      <w:r w:rsidR="00C70442" w:rsidRPr="00933FE9">
        <w:rPr>
          <w:rFonts w:ascii="Times New Roman" w:hAnsi="Times New Roman" w:cs="Times New Roman"/>
          <w:sz w:val="24"/>
          <w:szCs w:val="24"/>
        </w:rPr>
        <w:t>Понятовского</w:t>
      </w:r>
      <w:r w:rsidRPr="00933F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50E2" w:rsidRPr="00933FE9" w:rsidRDefault="00FA50E2" w:rsidP="00FA5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33FE9">
        <w:rPr>
          <w:rFonts w:ascii="Times New Roman" w:hAnsi="Times New Roman" w:cs="Times New Roman"/>
          <w:sz w:val="24"/>
          <w:szCs w:val="24"/>
        </w:rPr>
        <w:t xml:space="preserve"> сельского    поселения      Шумячского       </w:t>
      </w:r>
    </w:p>
    <w:p w:rsidR="00FA50E2" w:rsidRPr="00933FE9" w:rsidRDefault="00FA50E2" w:rsidP="00FA5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33FE9">
        <w:rPr>
          <w:rFonts w:ascii="Times New Roman" w:hAnsi="Times New Roman" w:cs="Times New Roman"/>
          <w:sz w:val="24"/>
          <w:szCs w:val="24"/>
        </w:rPr>
        <w:t xml:space="preserve"> района Смоленско</w:t>
      </w:r>
      <w:r w:rsidR="00F335CD">
        <w:rPr>
          <w:rFonts w:ascii="Times New Roman" w:hAnsi="Times New Roman" w:cs="Times New Roman"/>
          <w:sz w:val="24"/>
          <w:szCs w:val="24"/>
        </w:rPr>
        <w:t>й    области    за    2011 год»</w:t>
      </w:r>
    </w:p>
    <w:p w:rsidR="00620534" w:rsidRPr="00933FE9" w:rsidRDefault="00620534" w:rsidP="00FA50E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A50E2" w:rsidRPr="00933FE9" w:rsidRDefault="00C70442" w:rsidP="00C70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3FE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A50E2" w:rsidRPr="00933FE9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Администрации </w:t>
      </w:r>
      <w:r w:rsidRPr="00933FE9">
        <w:rPr>
          <w:rFonts w:ascii="Times New Roman" w:hAnsi="Times New Roman" w:cs="Times New Roman"/>
          <w:sz w:val="24"/>
          <w:szCs w:val="24"/>
        </w:rPr>
        <w:t>Понятовского</w:t>
      </w:r>
      <w:r w:rsidR="00FA50E2" w:rsidRPr="00933FE9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об исполнении бюджета </w:t>
      </w:r>
      <w:r w:rsidRPr="00933FE9">
        <w:rPr>
          <w:rFonts w:ascii="Times New Roman" w:hAnsi="Times New Roman" w:cs="Times New Roman"/>
          <w:sz w:val="24"/>
          <w:szCs w:val="24"/>
        </w:rPr>
        <w:t>Понятовского</w:t>
      </w:r>
      <w:r w:rsidR="00FA50E2" w:rsidRPr="00933FE9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за 2011 год, руководствуясь  Бюджетным кодексом Российской Федерации, ст.13 Устава </w:t>
      </w:r>
      <w:r w:rsidRPr="00933FE9">
        <w:rPr>
          <w:rFonts w:ascii="Times New Roman" w:hAnsi="Times New Roman" w:cs="Times New Roman"/>
          <w:sz w:val="24"/>
          <w:szCs w:val="24"/>
        </w:rPr>
        <w:t>Понятовского</w:t>
      </w:r>
      <w:r w:rsidR="00FA50E2" w:rsidRPr="00933FE9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области, Положением о бюджетном процессе в </w:t>
      </w:r>
      <w:r w:rsidRPr="00933FE9">
        <w:rPr>
          <w:rFonts w:ascii="Times New Roman" w:hAnsi="Times New Roman" w:cs="Times New Roman"/>
          <w:sz w:val="24"/>
          <w:szCs w:val="24"/>
        </w:rPr>
        <w:t>Понятовском</w:t>
      </w:r>
      <w:r w:rsidR="00FA50E2" w:rsidRPr="00933FE9">
        <w:rPr>
          <w:rFonts w:ascii="Times New Roman" w:hAnsi="Times New Roman" w:cs="Times New Roman"/>
          <w:sz w:val="24"/>
          <w:szCs w:val="24"/>
        </w:rPr>
        <w:t xml:space="preserve"> сельском поселении Шумячского района Смоленской области, Совет депутатов </w:t>
      </w:r>
      <w:r w:rsidRPr="00933FE9">
        <w:rPr>
          <w:rFonts w:ascii="Times New Roman" w:hAnsi="Times New Roman" w:cs="Times New Roman"/>
          <w:sz w:val="24"/>
          <w:szCs w:val="24"/>
        </w:rPr>
        <w:t>Понятовского</w:t>
      </w:r>
      <w:r w:rsidR="00FA50E2" w:rsidRPr="00933FE9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</w:t>
      </w:r>
      <w:proofErr w:type="gramEnd"/>
      <w:r w:rsidR="00FA50E2" w:rsidRPr="00933FE9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70442" w:rsidRPr="00933FE9" w:rsidRDefault="00C70442" w:rsidP="00C70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50E2" w:rsidRPr="00933FE9" w:rsidRDefault="00FA50E2" w:rsidP="00FA50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3FE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33FE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33FE9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FA50E2" w:rsidRPr="00933FE9" w:rsidRDefault="00FA50E2" w:rsidP="006E79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FE9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r w:rsidR="006E7989" w:rsidRPr="00933FE9">
        <w:rPr>
          <w:rFonts w:ascii="Times New Roman" w:hAnsi="Times New Roman" w:cs="Times New Roman"/>
          <w:sz w:val="24"/>
          <w:szCs w:val="24"/>
        </w:rPr>
        <w:t>Понятовского</w:t>
      </w:r>
      <w:r w:rsidRPr="00933FE9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за 2011 год по доходам  в сумме </w:t>
      </w:r>
      <w:r w:rsidR="006E7989" w:rsidRPr="00933FE9">
        <w:rPr>
          <w:rFonts w:ascii="Times New Roman" w:hAnsi="Times New Roman" w:cs="Times New Roman"/>
          <w:sz w:val="24"/>
          <w:szCs w:val="24"/>
        </w:rPr>
        <w:t xml:space="preserve"> </w:t>
      </w:r>
      <w:r w:rsidR="006E7989" w:rsidRPr="00933FE9">
        <w:rPr>
          <w:rFonts w:ascii="Times New Roman" w:hAnsi="Times New Roman" w:cs="Times New Roman"/>
          <w:b/>
          <w:i/>
          <w:sz w:val="24"/>
          <w:szCs w:val="24"/>
        </w:rPr>
        <w:t>7 031496,92</w:t>
      </w:r>
      <w:r w:rsidRPr="00933FE9">
        <w:rPr>
          <w:rFonts w:ascii="Times New Roman" w:hAnsi="Times New Roman" w:cs="Times New Roman"/>
          <w:sz w:val="24"/>
          <w:szCs w:val="24"/>
        </w:rPr>
        <w:t xml:space="preserve">  рублей, в том числе по безвозмездным поступлениям в сумме </w:t>
      </w:r>
      <w:r w:rsidR="006E7989" w:rsidRPr="00933FE9">
        <w:rPr>
          <w:rFonts w:ascii="Times New Roman" w:hAnsi="Times New Roman" w:cs="Times New Roman"/>
          <w:b/>
          <w:i/>
          <w:sz w:val="24"/>
          <w:szCs w:val="24"/>
        </w:rPr>
        <w:t>5900272,00</w:t>
      </w:r>
      <w:r w:rsidRPr="00933FE9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6E7989" w:rsidRPr="00933FE9">
        <w:rPr>
          <w:rFonts w:ascii="Times New Roman" w:hAnsi="Times New Roman" w:cs="Times New Roman"/>
          <w:sz w:val="24"/>
          <w:szCs w:val="24"/>
        </w:rPr>
        <w:t xml:space="preserve"> </w:t>
      </w:r>
      <w:r w:rsidRPr="00933FE9">
        <w:rPr>
          <w:rFonts w:ascii="Times New Roman" w:hAnsi="Times New Roman" w:cs="Times New Roman"/>
          <w:sz w:val="24"/>
          <w:szCs w:val="24"/>
        </w:rPr>
        <w:t>по расходам  в сумме </w:t>
      </w:r>
      <w:r w:rsidR="006E7989" w:rsidRPr="00933FE9">
        <w:rPr>
          <w:rFonts w:ascii="Times New Roman" w:hAnsi="Times New Roman" w:cs="Times New Roman"/>
          <w:b/>
          <w:i/>
          <w:sz w:val="24"/>
          <w:szCs w:val="24"/>
        </w:rPr>
        <w:t>6050738,35</w:t>
      </w:r>
      <w:r w:rsidR="006E7989" w:rsidRPr="00933FE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33FE9">
        <w:rPr>
          <w:rFonts w:ascii="Times New Roman" w:hAnsi="Times New Roman" w:cs="Times New Roman"/>
          <w:sz w:val="24"/>
          <w:szCs w:val="24"/>
        </w:rPr>
        <w:t>;</w:t>
      </w:r>
    </w:p>
    <w:p w:rsidR="00FA50E2" w:rsidRPr="00933FE9" w:rsidRDefault="006E7989" w:rsidP="006E79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3FE9">
        <w:rPr>
          <w:rFonts w:ascii="Times New Roman" w:hAnsi="Times New Roman" w:cs="Times New Roman"/>
          <w:sz w:val="24"/>
          <w:szCs w:val="24"/>
        </w:rPr>
        <w:t xml:space="preserve">      </w:t>
      </w:r>
      <w:r w:rsidR="00FA50E2" w:rsidRPr="00933FE9">
        <w:rPr>
          <w:rFonts w:ascii="Times New Roman" w:hAnsi="Times New Roman" w:cs="Times New Roman"/>
          <w:sz w:val="24"/>
          <w:szCs w:val="24"/>
        </w:rPr>
        <w:t xml:space="preserve">2. </w:t>
      </w:r>
      <w:r w:rsidRPr="00933FE9">
        <w:rPr>
          <w:rFonts w:ascii="Times New Roman" w:hAnsi="Times New Roman" w:cs="Times New Roman"/>
          <w:sz w:val="24"/>
          <w:szCs w:val="24"/>
        </w:rPr>
        <w:t xml:space="preserve">  </w:t>
      </w:r>
      <w:r w:rsidR="00FA50E2" w:rsidRPr="00933FE9">
        <w:rPr>
          <w:rFonts w:ascii="Times New Roman" w:hAnsi="Times New Roman" w:cs="Times New Roman"/>
          <w:sz w:val="24"/>
          <w:szCs w:val="24"/>
        </w:rPr>
        <w:t xml:space="preserve">Утвердить  доходы бюджета </w:t>
      </w:r>
      <w:r w:rsidRPr="00933FE9">
        <w:rPr>
          <w:rFonts w:ascii="Times New Roman" w:hAnsi="Times New Roman" w:cs="Times New Roman"/>
          <w:sz w:val="24"/>
          <w:szCs w:val="24"/>
        </w:rPr>
        <w:t>Понятовского</w:t>
      </w:r>
      <w:r w:rsidR="00FA50E2" w:rsidRPr="00933FE9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за 2011 год  согласно приложению №1;</w:t>
      </w:r>
    </w:p>
    <w:p w:rsidR="00FA50E2" w:rsidRPr="00933FE9" w:rsidRDefault="006E7989" w:rsidP="006E79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3FE9">
        <w:rPr>
          <w:rFonts w:ascii="Times New Roman" w:hAnsi="Times New Roman" w:cs="Times New Roman"/>
          <w:sz w:val="24"/>
          <w:szCs w:val="24"/>
        </w:rPr>
        <w:t xml:space="preserve">      </w:t>
      </w:r>
      <w:r w:rsidR="00FA50E2" w:rsidRPr="00933FE9">
        <w:rPr>
          <w:rFonts w:ascii="Times New Roman" w:hAnsi="Times New Roman" w:cs="Times New Roman"/>
          <w:sz w:val="24"/>
          <w:szCs w:val="24"/>
        </w:rPr>
        <w:t xml:space="preserve">3. </w:t>
      </w:r>
      <w:r w:rsidRPr="00933FE9">
        <w:rPr>
          <w:rFonts w:ascii="Times New Roman" w:hAnsi="Times New Roman" w:cs="Times New Roman"/>
          <w:sz w:val="24"/>
          <w:szCs w:val="24"/>
        </w:rPr>
        <w:t xml:space="preserve">  </w:t>
      </w:r>
      <w:r w:rsidR="00FA50E2" w:rsidRPr="00933FE9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933FE9">
        <w:rPr>
          <w:rFonts w:ascii="Times New Roman" w:hAnsi="Times New Roman" w:cs="Times New Roman"/>
          <w:sz w:val="24"/>
          <w:szCs w:val="24"/>
        </w:rPr>
        <w:t>Понятовского</w:t>
      </w:r>
      <w:r w:rsidR="00FA50E2" w:rsidRPr="00933FE9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за 2011 год  согласно приложению №2;</w:t>
      </w:r>
    </w:p>
    <w:p w:rsidR="00FA50E2" w:rsidRPr="00933FE9" w:rsidRDefault="006E7989" w:rsidP="006E79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3FE9">
        <w:rPr>
          <w:rFonts w:ascii="Times New Roman" w:hAnsi="Times New Roman" w:cs="Times New Roman"/>
          <w:sz w:val="24"/>
          <w:szCs w:val="24"/>
        </w:rPr>
        <w:t xml:space="preserve">      </w:t>
      </w:r>
      <w:r w:rsidR="00FA50E2" w:rsidRPr="00933FE9">
        <w:rPr>
          <w:rFonts w:ascii="Times New Roman" w:hAnsi="Times New Roman" w:cs="Times New Roman"/>
          <w:sz w:val="24"/>
          <w:szCs w:val="24"/>
        </w:rPr>
        <w:t xml:space="preserve">4. </w:t>
      </w:r>
      <w:r w:rsidRPr="00933FE9">
        <w:rPr>
          <w:rFonts w:ascii="Times New Roman" w:hAnsi="Times New Roman" w:cs="Times New Roman"/>
          <w:sz w:val="24"/>
          <w:szCs w:val="24"/>
        </w:rPr>
        <w:t xml:space="preserve">     </w:t>
      </w:r>
      <w:r w:rsidR="00FA50E2" w:rsidRPr="00933FE9">
        <w:rPr>
          <w:rFonts w:ascii="Times New Roman" w:hAnsi="Times New Roman" w:cs="Times New Roman"/>
          <w:sz w:val="24"/>
          <w:szCs w:val="24"/>
        </w:rPr>
        <w:t xml:space="preserve">Утвердить ведомственную  структуру расходов бюджета </w:t>
      </w:r>
      <w:r w:rsidRPr="00933FE9">
        <w:rPr>
          <w:rFonts w:ascii="Times New Roman" w:hAnsi="Times New Roman" w:cs="Times New Roman"/>
          <w:sz w:val="24"/>
          <w:szCs w:val="24"/>
        </w:rPr>
        <w:t>Понятовского</w:t>
      </w:r>
      <w:r w:rsidR="00FA50E2" w:rsidRPr="00933FE9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за 2011 год согласно приложению №3;</w:t>
      </w:r>
    </w:p>
    <w:p w:rsidR="00FA50E2" w:rsidRPr="00933FE9" w:rsidRDefault="006E7989" w:rsidP="006E79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3FE9">
        <w:rPr>
          <w:rFonts w:ascii="Times New Roman" w:hAnsi="Times New Roman" w:cs="Times New Roman"/>
          <w:sz w:val="24"/>
          <w:szCs w:val="24"/>
        </w:rPr>
        <w:t xml:space="preserve">      </w:t>
      </w:r>
      <w:r w:rsidR="00FA50E2" w:rsidRPr="00933FE9">
        <w:rPr>
          <w:rFonts w:ascii="Times New Roman" w:hAnsi="Times New Roman" w:cs="Times New Roman"/>
          <w:sz w:val="24"/>
          <w:szCs w:val="24"/>
        </w:rPr>
        <w:t>5.</w:t>
      </w:r>
      <w:r w:rsidRPr="00933FE9">
        <w:rPr>
          <w:rFonts w:ascii="Times New Roman" w:hAnsi="Times New Roman" w:cs="Times New Roman"/>
          <w:sz w:val="24"/>
          <w:szCs w:val="24"/>
        </w:rPr>
        <w:t xml:space="preserve">   </w:t>
      </w:r>
      <w:r w:rsidR="00D91B89" w:rsidRPr="00933FE9">
        <w:rPr>
          <w:rFonts w:ascii="Times New Roman" w:hAnsi="Times New Roman" w:cs="Times New Roman"/>
          <w:sz w:val="24"/>
          <w:szCs w:val="24"/>
        </w:rPr>
        <w:t xml:space="preserve"> У</w:t>
      </w:r>
      <w:r w:rsidR="00FA50E2" w:rsidRPr="00933FE9">
        <w:rPr>
          <w:rFonts w:ascii="Times New Roman" w:hAnsi="Times New Roman" w:cs="Times New Roman"/>
          <w:sz w:val="24"/>
          <w:szCs w:val="24"/>
        </w:rPr>
        <w:t xml:space="preserve">твердить источники дефицита бюджета </w:t>
      </w:r>
      <w:r w:rsidR="00D91B89" w:rsidRPr="00933FE9">
        <w:rPr>
          <w:rFonts w:ascii="Times New Roman" w:hAnsi="Times New Roman" w:cs="Times New Roman"/>
          <w:sz w:val="24"/>
          <w:szCs w:val="24"/>
        </w:rPr>
        <w:t>Понятовского</w:t>
      </w:r>
      <w:r w:rsidR="00FA50E2" w:rsidRPr="00933FE9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 за 2011 год согласно приложению №4.</w:t>
      </w:r>
    </w:p>
    <w:p w:rsidR="00FA50E2" w:rsidRPr="00933FE9" w:rsidRDefault="004637FD" w:rsidP="006E79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3FE9">
        <w:rPr>
          <w:rFonts w:ascii="Times New Roman" w:hAnsi="Times New Roman" w:cs="Times New Roman"/>
          <w:sz w:val="24"/>
          <w:szCs w:val="24"/>
        </w:rPr>
        <w:t xml:space="preserve">     </w:t>
      </w:r>
      <w:r w:rsidR="00FA50E2" w:rsidRPr="00933FE9">
        <w:rPr>
          <w:rFonts w:ascii="Times New Roman" w:hAnsi="Times New Roman" w:cs="Times New Roman"/>
          <w:sz w:val="24"/>
          <w:szCs w:val="24"/>
        </w:rPr>
        <w:t xml:space="preserve">6. </w:t>
      </w:r>
      <w:r w:rsidRPr="00933F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50E2" w:rsidRPr="00933FE9">
        <w:rPr>
          <w:rFonts w:ascii="Times New Roman" w:hAnsi="Times New Roman" w:cs="Times New Roman"/>
          <w:sz w:val="24"/>
          <w:szCs w:val="24"/>
        </w:rPr>
        <w:t>Настоящее решение опубликовать в районной газете «За урожай».</w:t>
      </w:r>
    </w:p>
    <w:p w:rsidR="00FA50E2" w:rsidRPr="00933FE9" w:rsidRDefault="004637FD" w:rsidP="006E7989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FE9">
        <w:rPr>
          <w:rFonts w:ascii="Times New Roman" w:hAnsi="Times New Roman" w:cs="Times New Roman"/>
          <w:sz w:val="24"/>
          <w:szCs w:val="24"/>
        </w:rPr>
        <w:t xml:space="preserve">     </w:t>
      </w:r>
      <w:r w:rsidR="00FA50E2" w:rsidRPr="00933FE9">
        <w:rPr>
          <w:rFonts w:ascii="Times New Roman" w:hAnsi="Times New Roman" w:cs="Times New Roman"/>
          <w:sz w:val="24"/>
          <w:szCs w:val="24"/>
        </w:rPr>
        <w:t xml:space="preserve">7. </w:t>
      </w:r>
      <w:r w:rsidRPr="00933FE9">
        <w:rPr>
          <w:rFonts w:ascii="Times New Roman" w:hAnsi="Times New Roman" w:cs="Times New Roman"/>
          <w:sz w:val="24"/>
          <w:szCs w:val="24"/>
        </w:rPr>
        <w:t xml:space="preserve">    </w:t>
      </w:r>
      <w:r w:rsidR="00FA50E2" w:rsidRPr="00933FE9">
        <w:rPr>
          <w:rFonts w:ascii="Times New Roman" w:hAnsi="Times New Roman" w:cs="Times New Roman"/>
          <w:sz w:val="24"/>
          <w:szCs w:val="24"/>
        </w:rPr>
        <w:t>Настоящее  решение вступает в силу с</w:t>
      </w:r>
      <w:r w:rsidR="00292F1C">
        <w:rPr>
          <w:rFonts w:ascii="Times New Roman" w:hAnsi="Times New Roman" w:cs="Times New Roman"/>
          <w:sz w:val="24"/>
          <w:szCs w:val="24"/>
        </w:rPr>
        <w:t xml:space="preserve"> момента его официального опубликования</w:t>
      </w:r>
      <w:r w:rsidR="00FA50E2" w:rsidRPr="00933FE9">
        <w:rPr>
          <w:rFonts w:ascii="Times New Roman" w:hAnsi="Times New Roman" w:cs="Times New Roman"/>
          <w:sz w:val="24"/>
          <w:szCs w:val="24"/>
        </w:rPr>
        <w:t xml:space="preserve">. </w:t>
      </w:r>
      <w:r w:rsidR="00FA50E2" w:rsidRPr="00933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637FD" w:rsidRPr="00933FE9" w:rsidRDefault="00FA50E2" w:rsidP="006E7989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FE9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FA50E2" w:rsidRPr="00933FE9" w:rsidRDefault="00FA50E2" w:rsidP="006E7989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FE9">
        <w:rPr>
          <w:rFonts w:ascii="Times New Roman" w:hAnsi="Times New Roman" w:cs="Times New Roman"/>
          <w:bCs/>
          <w:sz w:val="24"/>
          <w:szCs w:val="24"/>
        </w:rPr>
        <w:t xml:space="preserve">   Глава муниципального образования</w:t>
      </w:r>
    </w:p>
    <w:p w:rsidR="00FA50E2" w:rsidRPr="00933FE9" w:rsidRDefault="00FA50E2" w:rsidP="006E7989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FE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637FD" w:rsidRPr="00933FE9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Pr="00933FE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8A41D0" w:rsidRDefault="004637FD" w:rsidP="004637F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FE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A50E2" w:rsidRPr="00933FE9">
        <w:rPr>
          <w:rFonts w:ascii="Times New Roman" w:hAnsi="Times New Roman" w:cs="Times New Roman"/>
          <w:bCs/>
          <w:sz w:val="24"/>
          <w:szCs w:val="24"/>
        </w:rPr>
        <w:t xml:space="preserve">Шумячского района Смоленской области                         </w:t>
      </w:r>
      <w:r w:rsidRPr="00933FE9">
        <w:rPr>
          <w:rFonts w:ascii="Times New Roman" w:hAnsi="Times New Roman" w:cs="Times New Roman"/>
          <w:bCs/>
          <w:sz w:val="24"/>
          <w:szCs w:val="24"/>
        </w:rPr>
        <w:t>Е. П. Макаренкова.</w:t>
      </w:r>
    </w:p>
    <w:p w:rsidR="00F1606C" w:rsidRDefault="00F1606C" w:rsidP="004637F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06C" w:rsidRDefault="00F1606C" w:rsidP="004637F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06C" w:rsidRDefault="00F1606C" w:rsidP="004637F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06C" w:rsidRDefault="00F1606C" w:rsidP="004637F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06C" w:rsidRDefault="00F1606C" w:rsidP="004637F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06C" w:rsidRDefault="00F1606C" w:rsidP="004637F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06C" w:rsidRDefault="00F1606C" w:rsidP="004637F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06C" w:rsidRDefault="00F1606C" w:rsidP="004637F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06C" w:rsidRDefault="00F1606C" w:rsidP="004637F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06C" w:rsidRDefault="00F1606C" w:rsidP="004637F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06C" w:rsidRDefault="00F1606C" w:rsidP="004637F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06C" w:rsidRDefault="00F1606C" w:rsidP="004637F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06C" w:rsidRDefault="00F1606C" w:rsidP="004637F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06C" w:rsidRDefault="00F1606C" w:rsidP="004637F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Ind w:w="-9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776"/>
        <w:gridCol w:w="4678"/>
        <w:gridCol w:w="2410"/>
      </w:tblGrid>
      <w:tr w:rsidR="00F1606C" w:rsidRPr="00F1606C" w:rsidTr="00F1606C">
        <w:trPr>
          <w:trHeight w:val="126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6C" w:rsidRPr="00F1606C" w:rsidRDefault="00F1606C" w:rsidP="00F160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Приложение № 1</w:t>
            </w:r>
          </w:p>
          <w:p w:rsidR="00F1606C" w:rsidRPr="00F1606C" w:rsidRDefault="00F1606C" w:rsidP="00F160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К решению Совета депутатов Понятовского сельского поселения Шумячского района Смоленской области от «18» апреля 2012 года  №10 «Об исполнении бюджета Понятовского</w:t>
            </w:r>
            <w:r w:rsidRPr="00F160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 Шумячского района Смоленской области за 2011 год»</w:t>
            </w:r>
          </w:p>
        </w:tc>
      </w:tr>
      <w:tr w:rsidR="00F1606C" w:rsidRPr="00F1606C" w:rsidTr="00F1606C">
        <w:trPr>
          <w:trHeight w:val="48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бюджета </w:t>
            </w:r>
          </w:p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Понятовского сельского поселения Шумячского района Смоленской области  за 2011 год</w:t>
            </w:r>
          </w:p>
        </w:tc>
      </w:tr>
      <w:tr w:rsidR="00F1606C" w:rsidRPr="00F1606C" w:rsidTr="00F1606C">
        <w:trPr>
          <w:trHeight w:val="742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Сумма (руб.</w:t>
            </w:r>
            <w:proofErr w:type="gramStart"/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)и</w:t>
            </w:r>
            <w:proofErr w:type="gramEnd"/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сполнено</w:t>
            </w:r>
          </w:p>
        </w:tc>
      </w:tr>
      <w:tr w:rsidR="00F1606C" w:rsidRPr="00F1606C" w:rsidTr="00F1606C">
        <w:trPr>
          <w:trHeight w:val="247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1000000000 0000 000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1131224,92</w:t>
            </w:r>
          </w:p>
        </w:tc>
      </w:tr>
      <w:tr w:rsidR="00F1606C" w:rsidRPr="00F1606C" w:rsidTr="00F1606C">
        <w:trPr>
          <w:trHeight w:val="247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1010000000 0000 000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178946,45</w:t>
            </w:r>
          </w:p>
        </w:tc>
      </w:tr>
      <w:tr w:rsidR="00F1606C" w:rsidRPr="00F1606C" w:rsidTr="00F1606C">
        <w:trPr>
          <w:trHeight w:val="494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10102000001 0000 110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178946,45</w:t>
            </w:r>
          </w:p>
        </w:tc>
      </w:tr>
      <w:tr w:rsidR="00F1606C" w:rsidRPr="00F1606C" w:rsidTr="00F1606C">
        <w:trPr>
          <w:trHeight w:val="1543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10 102 021 010 000 100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п.1 ст.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177632,45</w:t>
            </w:r>
          </w:p>
        </w:tc>
      </w:tr>
      <w:tr w:rsidR="00F1606C" w:rsidRPr="00F1606C" w:rsidTr="00F1606C">
        <w:trPr>
          <w:trHeight w:val="686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1314,00</w:t>
            </w:r>
          </w:p>
        </w:tc>
      </w:tr>
      <w:tr w:rsidR="00F1606C" w:rsidRPr="00F1606C" w:rsidTr="00F1606C">
        <w:trPr>
          <w:trHeight w:val="247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1060000000 0000 000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136412,91</w:t>
            </w:r>
          </w:p>
        </w:tc>
      </w:tr>
      <w:tr w:rsidR="00F1606C" w:rsidRPr="00F1606C" w:rsidTr="00F1606C">
        <w:trPr>
          <w:trHeight w:val="247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1060100000 0000 110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2479,74</w:t>
            </w:r>
          </w:p>
        </w:tc>
      </w:tr>
      <w:tr w:rsidR="00F1606C" w:rsidRPr="00F1606C" w:rsidTr="00F1606C">
        <w:trPr>
          <w:trHeight w:val="732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1060103010 0000 110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2479,74</w:t>
            </w:r>
          </w:p>
        </w:tc>
      </w:tr>
      <w:tr w:rsidR="00F1606C" w:rsidRPr="00F1606C" w:rsidTr="00F1606C">
        <w:trPr>
          <w:trHeight w:val="247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1060600000 0000 110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133933,17</w:t>
            </w:r>
          </w:p>
        </w:tc>
      </w:tr>
      <w:tr w:rsidR="00F1606C" w:rsidRPr="00F1606C" w:rsidTr="00F1606C">
        <w:trPr>
          <w:trHeight w:val="1001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1060601310 0000 110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27196,97</w:t>
            </w:r>
          </w:p>
        </w:tc>
      </w:tr>
      <w:tr w:rsidR="00F1606C" w:rsidRPr="00F1606C" w:rsidTr="00F1606C">
        <w:trPr>
          <w:trHeight w:val="982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1060602310 0000 110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п. 1 ст.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106736,20</w:t>
            </w:r>
          </w:p>
        </w:tc>
      </w:tr>
      <w:tr w:rsidR="00F1606C" w:rsidRPr="00F1606C" w:rsidTr="00F1606C">
        <w:trPr>
          <w:trHeight w:val="401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1090000000 0000 000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27995,74</w:t>
            </w:r>
          </w:p>
        </w:tc>
      </w:tr>
      <w:tr w:rsidR="00F1606C" w:rsidRPr="00F1606C" w:rsidTr="00F1606C">
        <w:trPr>
          <w:trHeight w:val="652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1090405100000110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27995,74</w:t>
            </w:r>
          </w:p>
        </w:tc>
      </w:tr>
      <w:tr w:rsidR="00F1606C" w:rsidRPr="00F1606C" w:rsidTr="00F1606C">
        <w:trPr>
          <w:trHeight w:val="544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1110000000 0000 000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28516,24</w:t>
            </w:r>
          </w:p>
        </w:tc>
      </w:tr>
      <w:tr w:rsidR="00F1606C" w:rsidRPr="00F1606C" w:rsidTr="00F1606C">
        <w:trPr>
          <w:trHeight w:val="1544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1110500000 0000 120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28516,24</w:t>
            </w:r>
          </w:p>
        </w:tc>
      </w:tr>
      <w:tr w:rsidR="00F1606C" w:rsidRPr="00F1606C" w:rsidTr="00F1606C">
        <w:trPr>
          <w:trHeight w:val="1255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11105010100000110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Доходы</w:t>
            </w:r>
            <w:proofErr w:type="gramStart"/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28516,24</w:t>
            </w:r>
          </w:p>
        </w:tc>
      </w:tr>
      <w:tr w:rsidR="00F1606C" w:rsidRPr="00F1606C" w:rsidTr="00F1606C">
        <w:trPr>
          <w:trHeight w:val="494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11400000000000000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751782,00</w:t>
            </w:r>
          </w:p>
        </w:tc>
      </w:tr>
      <w:tr w:rsidR="00F1606C" w:rsidRPr="00F1606C" w:rsidTr="00F1606C">
        <w:trPr>
          <w:trHeight w:val="1464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11402000000000000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6750,00</w:t>
            </w:r>
          </w:p>
        </w:tc>
      </w:tr>
      <w:tr w:rsidR="00F1606C" w:rsidRPr="00F1606C" w:rsidTr="00F1606C">
        <w:trPr>
          <w:trHeight w:val="1549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11402033100000410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6750,00</w:t>
            </w:r>
          </w:p>
        </w:tc>
      </w:tr>
      <w:tr w:rsidR="00F1606C" w:rsidRPr="00F1606C" w:rsidTr="00F1606C">
        <w:trPr>
          <w:trHeight w:val="982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11406000000000430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</w:t>
            </w:r>
            <w:proofErr w:type="gramStart"/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и(</w:t>
            </w:r>
            <w:proofErr w:type="gramEnd"/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745032,00</w:t>
            </w:r>
          </w:p>
        </w:tc>
      </w:tr>
      <w:tr w:rsidR="00F1606C" w:rsidRPr="00F1606C" w:rsidTr="00F1606C">
        <w:trPr>
          <w:trHeight w:val="543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11406010000000430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Доходы от продажи земельных участков</w:t>
            </w:r>
            <w:proofErr w:type="gramStart"/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745032,00</w:t>
            </w:r>
          </w:p>
        </w:tc>
      </w:tr>
      <w:tr w:rsidR="00F1606C" w:rsidRPr="00F1606C" w:rsidTr="00F1606C">
        <w:trPr>
          <w:trHeight w:val="706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11406014100000430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745032,00</w:t>
            </w:r>
          </w:p>
        </w:tc>
      </w:tr>
      <w:tr w:rsidR="00F1606C" w:rsidRPr="00F1606C" w:rsidTr="00F1606C">
        <w:trPr>
          <w:trHeight w:val="247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неналоговы</w:t>
            </w:r>
            <w:proofErr w:type="spellEnd"/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доходы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7571,58</w:t>
            </w:r>
          </w:p>
        </w:tc>
      </w:tr>
      <w:tr w:rsidR="00F1606C" w:rsidRPr="00F1606C" w:rsidTr="00F1606C">
        <w:trPr>
          <w:trHeight w:val="247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11705000000000180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неналоговы</w:t>
            </w:r>
            <w:proofErr w:type="spellEnd"/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доходы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7571,58</w:t>
            </w:r>
          </w:p>
        </w:tc>
      </w:tr>
      <w:tr w:rsidR="00F1606C" w:rsidRPr="00F1606C" w:rsidTr="00F1606C">
        <w:trPr>
          <w:trHeight w:val="494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11705050100000180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неналоговы</w:t>
            </w:r>
            <w:proofErr w:type="spellEnd"/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доходы бюджетов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7571,58</w:t>
            </w:r>
          </w:p>
        </w:tc>
      </w:tr>
      <w:tr w:rsidR="00F1606C" w:rsidRPr="00F1606C" w:rsidTr="00F1606C">
        <w:trPr>
          <w:trHeight w:val="362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2 00 00000 00 0000 000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5 900 272,00  </w:t>
            </w:r>
          </w:p>
        </w:tc>
      </w:tr>
      <w:tr w:rsidR="00F1606C" w:rsidRPr="00F1606C" w:rsidTr="00F1606C">
        <w:trPr>
          <w:trHeight w:val="837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2 02 00000 00 0000 000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5 900 272,00  </w:t>
            </w:r>
          </w:p>
        </w:tc>
      </w:tr>
      <w:tr w:rsidR="00F1606C" w:rsidRPr="00F1606C" w:rsidTr="00F1606C">
        <w:trPr>
          <w:trHeight w:val="551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2 02 01000 00 0000 151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2 220 500,00  </w:t>
            </w:r>
          </w:p>
        </w:tc>
      </w:tr>
      <w:tr w:rsidR="00F1606C" w:rsidRPr="00F1606C" w:rsidTr="00F1606C">
        <w:trPr>
          <w:trHeight w:val="504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2 02 01001 10 0000 151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2 008 900,00  </w:t>
            </w:r>
          </w:p>
        </w:tc>
      </w:tr>
      <w:tr w:rsidR="00F1606C" w:rsidRPr="00F1606C" w:rsidTr="00F1606C">
        <w:trPr>
          <w:trHeight w:val="608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2 02 02003 00 0000 151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211 600,00  </w:t>
            </w:r>
          </w:p>
        </w:tc>
      </w:tr>
      <w:tr w:rsidR="00F1606C" w:rsidRPr="00F1606C" w:rsidTr="00F1606C">
        <w:trPr>
          <w:trHeight w:val="546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2 02 02003 10 0000 151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211 600,00  </w:t>
            </w:r>
          </w:p>
        </w:tc>
      </w:tr>
      <w:tr w:rsidR="00F1606C" w:rsidRPr="00F1606C" w:rsidTr="00F1606C">
        <w:trPr>
          <w:trHeight w:val="696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2 02 02000 00 0000 151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3 440 972,00  </w:t>
            </w:r>
          </w:p>
        </w:tc>
      </w:tr>
      <w:tr w:rsidR="00F1606C" w:rsidRPr="00F1606C" w:rsidTr="00F1606C">
        <w:trPr>
          <w:trHeight w:val="1265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202 02077 10 0000 151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Субсидии бюджетам на бюджетные инвестиции в объекты капитального строительства государственной собственности субъектов Российской </w:t>
            </w: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688 194,00  </w:t>
            </w:r>
          </w:p>
        </w:tc>
      </w:tr>
      <w:tr w:rsidR="00F1606C" w:rsidRPr="00F1606C" w:rsidTr="00F1606C">
        <w:trPr>
          <w:trHeight w:val="1265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2 02 02999 00 0000 151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государственной собственности субъектов Российской Федерации  (объекты капитального строительства собственности муниципальных образований)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688 194,00  </w:t>
            </w:r>
          </w:p>
        </w:tc>
      </w:tr>
      <w:tr w:rsidR="00F1606C" w:rsidRPr="00F1606C" w:rsidTr="00F1606C">
        <w:trPr>
          <w:trHeight w:val="264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2 02 02999 00 0000 151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2 752 778,00  </w:t>
            </w:r>
          </w:p>
        </w:tc>
      </w:tr>
      <w:tr w:rsidR="00F1606C" w:rsidRPr="00F1606C" w:rsidTr="00F1606C">
        <w:trPr>
          <w:trHeight w:val="247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2 752 778,00  </w:t>
            </w:r>
          </w:p>
        </w:tc>
      </w:tr>
      <w:tr w:rsidR="00F1606C" w:rsidRPr="00F1606C" w:rsidTr="00F1606C">
        <w:trPr>
          <w:trHeight w:val="568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2 02 03000 00 0000 151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44 800,00  </w:t>
            </w:r>
          </w:p>
        </w:tc>
      </w:tr>
      <w:tr w:rsidR="00F1606C" w:rsidRPr="00F1606C" w:rsidTr="00F1606C">
        <w:trPr>
          <w:trHeight w:val="690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2 02 03015 10 0000 151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44 800,00  </w:t>
            </w:r>
          </w:p>
        </w:tc>
      </w:tr>
      <w:tr w:rsidR="00F1606C" w:rsidRPr="00F1606C" w:rsidTr="00F1606C">
        <w:trPr>
          <w:trHeight w:val="319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2 02 04000 00 0000 151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194 000,00  </w:t>
            </w:r>
          </w:p>
        </w:tc>
      </w:tr>
      <w:tr w:rsidR="00F1606C" w:rsidRPr="00F1606C" w:rsidTr="00F1606C">
        <w:trPr>
          <w:trHeight w:val="494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194 000,00  </w:t>
            </w:r>
          </w:p>
        </w:tc>
      </w:tr>
      <w:tr w:rsidR="00F1606C" w:rsidRPr="00F1606C" w:rsidTr="00F1606C">
        <w:trPr>
          <w:trHeight w:val="262"/>
          <w:jc w:val="center"/>
        </w:trPr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06C" w:rsidRPr="00F1606C" w:rsidRDefault="00F1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06C" w:rsidRPr="00F1606C" w:rsidRDefault="00F160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7 031 496,92  </w:t>
            </w:r>
          </w:p>
        </w:tc>
      </w:tr>
    </w:tbl>
    <w:p w:rsidR="00F1606C" w:rsidRPr="00F1606C" w:rsidRDefault="00F1606C" w:rsidP="00F1606C">
      <w:pPr>
        <w:rPr>
          <w:rFonts w:ascii="Times New Roman" w:eastAsia="Times New Roman" w:hAnsi="Times New Roman" w:cs="Times New Roman"/>
          <w:b/>
          <w:lang w:eastAsia="en-US"/>
        </w:rPr>
      </w:pPr>
    </w:p>
    <w:p w:rsidR="00F1606C" w:rsidRPr="00F1606C" w:rsidRDefault="00F1606C" w:rsidP="00F1606C">
      <w:pPr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XSpec="right" w:tblpY="2"/>
        <w:tblOverlap w:val="never"/>
        <w:tblW w:w="3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5"/>
      </w:tblGrid>
      <w:tr w:rsidR="00F1606C" w:rsidRPr="00F1606C" w:rsidTr="00F1606C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06C">
              <w:rPr>
                <w:rFonts w:ascii="Times New Roman" w:hAnsi="Times New Roman" w:cs="Times New Roman"/>
                <w:sz w:val="16"/>
                <w:szCs w:val="16"/>
              </w:rPr>
              <w:t>Приложение №2</w:t>
            </w:r>
          </w:p>
          <w:p w:rsidR="00F1606C" w:rsidRPr="00F1606C" w:rsidRDefault="00F160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1606C">
              <w:rPr>
                <w:rFonts w:ascii="Times New Roman" w:hAnsi="Times New Roman" w:cs="Times New Roman"/>
                <w:sz w:val="16"/>
                <w:szCs w:val="16"/>
              </w:rPr>
              <w:t xml:space="preserve"> к решению  Совета  депутатов Понятовского сельского поселения Шумячского района Смоленской области от 18.04.2012г. №10 «Об исполнении  бюджета Понятовского сельского поселения Шумячского района Смоленской области на 2011 год» </w:t>
            </w:r>
          </w:p>
        </w:tc>
      </w:tr>
    </w:tbl>
    <w:p w:rsidR="00F1606C" w:rsidRPr="00F1606C" w:rsidRDefault="00F1606C" w:rsidP="00F1606C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F1606C" w:rsidRPr="00F1606C" w:rsidRDefault="00F1606C" w:rsidP="00F1606C">
      <w:pPr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jc w:val="center"/>
        <w:rPr>
          <w:rFonts w:ascii="Times New Roman" w:hAnsi="Times New Roman" w:cs="Times New Roman"/>
          <w:b/>
        </w:rPr>
      </w:pPr>
      <w:r w:rsidRPr="00F1606C">
        <w:rPr>
          <w:rFonts w:ascii="Times New Roman" w:hAnsi="Times New Roman" w:cs="Times New Roman"/>
          <w:b/>
        </w:rPr>
        <w:t xml:space="preserve">                                                                   </w:t>
      </w:r>
    </w:p>
    <w:p w:rsidR="00F1606C" w:rsidRPr="00F1606C" w:rsidRDefault="00F1606C" w:rsidP="00F1606C">
      <w:pPr>
        <w:jc w:val="center"/>
        <w:rPr>
          <w:rFonts w:ascii="Times New Roman" w:hAnsi="Times New Roman" w:cs="Times New Roman"/>
          <w:b/>
        </w:rPr>
      </w:pPr>
      <w:r w:rsidRPr="00F1606C">
        <w:rPr>
          <w:rFonts w:ascii="Times New Roman" w:hAnsi="Times New Roman" w:cs="Times New Roman"/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Понятовского сельского поселения Шумячского района Смоленской области за 2011 год</w:t>
      </w:r>
    </w:p>
    <w:p w:rsidR="00F1606C" w:rsidRPr="00F1606C" w:rsidRDefault="00F1606C" w:rsidP="00F1606C">
      <w:pPr>
        <w:jc w:val="center"/>
        <w:rPr>
          <w:rFonts w:ascii="Times New Roman" w:hAnsi="Times New Roman" w:cs="Times New Roman"/>
          <w:sz w:val="16"/>
          <w:szCs w:val="16"/>
        </w:rPr>
      </w:pPr>
      <w:r w:rsidRPr="00F1606C">
        <w:rPr>
          <w:rFonts w:ascii="Times New Roman" w:hAnsi="Times New Roman" w:cs="Times New Roman"/>
          <w:sz w:val="16"/>
          <w:szCs w:val="16"/>
        </w:rPr>
        <w:t>( рублей)</w:t>
      </w:r>
    </w:p>
    <w:tbl>
      <w:tblPr>
        <w:tblW w:w="9660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4"/>
        <w:gridCol w:w="851"/>
        <w:gridCol w:w="709"/>
        <w:gridCol w:w="850"/>
        <w:gridCol w:w="1134"/>
        <w:gridCol w:w="1134"/>
        <w:gridCol w:w="1418"/>
      </w:tblGrid>
      <w:tr w:rsidR="00F1606C" w:rsidRPr="00F1606C" w:rsidTr="00F1606C">
        <w:trPr>
          <w:trHeight w:hRule="exact" w:val="1433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</w:t>
            </w:r>
          </w:p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распорядителя кредитов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606C" w:rsidRPr="00F1606C" w:rsidRDefault="00F1606C">
            <w:pPr>
              <w:pStyle w:val="2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</w:p>
          <w:p w:rsidR="00F1606C" w:rsidRPr="00F1606C" w:rsidRDefault="00F1606C">
            <w:pPr>
              <w:pStyle w:val="2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r w:rsidRPr="00F1606C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Сумма, исполнено.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1.Общегосударственные вопросы</w:t>
            </w:r>
          </w:p>
          <w:p w:rsidR="00F1606C" w:rsidRPr="00F1606C" w:rsidRDefault="00F1606C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1576353,12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1.1.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211600,00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1.2.Функционирование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31680,00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31680,00</w:t>
            </w:r>
          </w:p>
        </w:tc>
      </w:tr>
      <w:tr w:rsidR="00F1606C" w:rsidRPr="00F1606C" w:rsidTr="00F1606C">
        <w:trPr>
          <w:trHeight w:val="1079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1.3. 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1333073,12</w:t>
            </w:r>
          </w:p>
        </w:tc>
      </w:tr>
      <w:tr w:rsidR="00F1606C" w:rsidRPr="00F1606C" w:rsidTr="00F1606C">
        <w:trPr>
          <w:trHeight w:val="30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1333073,12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1016992,04</w:t>
            </w:r>
          </w:p>
        </w:tc>
      </w:tr>
      <w:tr w:rsidR="00F1606C" w:rsidRPr="00F1606C" w:rsidTr="00F1606C">
        <w:trPr>
          <w:trHeight w:val="504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1016992,04</w:t>
            </w:r>
          </w:p>
        </w:tc>
      </w:tr>
      <w:tr w:rsidR="00F1606C" w:rsidRPr="00F1606C" w:rsidTr="00F1606C">
        <w:trPr>
          <w:trHeight w:val="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1.4.Глава местной администрации (исполнительно- 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316081,08</w:t>
            </w:r>
          </w:p>
        </w:tc>
      </w:tr>
      <w:tr w:rsidR="00F1606C" w:rsidRPr="00F1606C" w:rsidTr="00F1606C">
        <w:trPr>
          <w:trHeight w:val="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316081,08</w:t>
            </w:r>
          </w:p>
        </w:tc>
      </w:tr>
      <w:tr w:rsidR="00F1606C" w:rsidRPr="00F1606C" w:rsidTr="00F1606C">
        <w:trPr>
          <w:trHeight w:val="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1.5. 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0,00</w:t>
            </w:r>
          </w:p>
        </w:tc>
      </w:tr>
      <w:tr w:rsidR="00F1606C" w:rsidRPr="00F1606C" w:rsidTr="00F1606C">
        <w:trPr>
          <w:trHeight w:val="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44800,00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44800,00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17580,00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2479900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2479900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4386505,22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4.1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3821538,62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«Социальное развитие села до 2012 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688194,00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688194,00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ДОЦП «Развитие сельского хозяйства и регулирование рынков сельскохозяйственной продукции сырья и продовольствия в Смоленской области» на 2009-2012 год.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2752778,00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2752778,00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бюджета </w:t>
            </w:r>
            <w:proofErr w:type="spellStart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spellEnd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образования, возникающие при выполнении полномочий органов местного самоуправления по вопросам местного значения при получении субсидий в рамках ДОЦП «Развитие сельского хозяйства и регулирование рынков сельскохозяйственной продукции сырья и продовольствия в Смоленской области» на 2009-2012 год.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181104,00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181104,00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наказов избирателей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Cs/>
                <w:sz w:val="24"/>
                <w:szCs w:val="24"/>
              </w:rPr>
              <w:t>5462,62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Cs/>
                <w:sz w:val="24"/>
                <w:szCs w:val="24"/>
              </w:rPr>
              <w:t>5462,62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Cs/>
                <w:sz w:val="24"/>
                <w:szCs w:val="24"/>
              </w:rPr>
              <w:t>5462,62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4.2. 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428335,82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муниципальных образований</w:t>
            </w:r>
            <w:proofErr w:type="gramStart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возникающие при выполнении полномочий органов местного самоуправления по вопросам местного значения при получении субсидий на капитальный ремонт и строительство шахтных колодцев.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7876,00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7876,00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420459,82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247461,88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242819,86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165720,98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165720,98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7276,96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7276,96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4.3.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136630,78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социальной и инженерной инфраструктуры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136630,78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социальной и инженерной инфраструктуры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136630,78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136630,78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 Физическая культура и спорт.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15500,00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оздоровительная</w:t>
            </w:r>
            <w:proofErr w:type="gramEnd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и спортивные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15500,00</w:t>
            </w:r>
          </w:p>
        </w:tc>
      </w:tr>
      <w:tr w:rsidR="00F1606C" w:rsidRPr="00F1606C" w:rsidTr="00F1606C">
        <w:trPr>
          <w:trHeight w:val="150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sz w:val="24"/>
                <w:szCs w:val="24"/>
              </w:rPr>
              <w:t>6050738,35</w:t>
            </w:r>
          </w:p>
        </w:tc>
      </w:tr>
    </w:tbl>
    <w:p w:rsidR="00F1606C" w:rsidRPr="00F1606C" w:rsidRDefault="00F1606C" w:rsidP="00F1606C">
      <w:pPr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XSpec="right" w:tblpY="2"/>
        <w:tblOverlap w:val="never"/>
        <w:tblW w:w="3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5"/>
      </w:tblGrid>
      <w:tr w:rsidR="00F1606C" w:rsidRPr="00F1606C" w:rsidTr="00F1606C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06C">
              <w:rPr>
                <w:rFonts w:ascii="Times New Roman" w:hAnsi="Times New Roman" w:cs="Times New Roman"/>
                <w:sz w:val="16"/>
                <w:szCs w:val="16"/>
              </w:rPr>
              <w:t>Приложение №3</w:t>
            </w:r>
          </w:p>
          <w:p w:rsidR="00F1606C" w:rsidRPr="00F1606C" w:rsidRDefault="00F160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1606C">
              <w:rPr>
                <w:rFonts w:ascii="Times New Roman" w:hAnsi="Times New Roman" w:cs="Times New Roman"/>
                <w:sz w:val="16"/>
                <w:szCs w:val="16"/>
              </w:rPr>
              <w:t xml:space="preserve"> к решению  Совета  депутатов Понятовского сельского поселения Шумячского района Смоленской области от 18.04.2012г. №10 «Об исполнении  бюджета Понятовского сельского поселения Шумячского района Смоленской области на 2011 год». </w:t>
            </w:r>
          </w:p>
        </w:tc>
      </w:tr>
    </w:tbl>
    <w:p w:rsidR="00F1606C" w:rsidRPr="00F1606C" w:rsidRDefault="00F1606C" w:rsidP="00F1606C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F1606C" w:rsidRPr="00F1606C" w:rsidRDefault="00F1606C" w:rsidP="00F1606C">
      <w:pPr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6C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Понятовского сельского поселения</w:t>
      </w:r>
    </w:p>
    <w:p w:rsidR="00F1606C" w:rsidRPr="00F1606C" w:rsidRDefault="00F1606C" w:rsidP="00F16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6C">
        <w:rPr>
          <w:rFonts w:ascii="Times New Roman" w:hAnsi="Times New Roman" w:cs="Times New Roman"/>
          <w:b/>
          <w:sz w:val="24"/>
          <w:szCs w:val="24"/>
        </w:rPr>
        <w:t>Шумячского района Смоленской области на 2011 год</w:t>
      </w:r>
    </w:p>
    <w:tbl>
      <w:tblPr>
        <w:tblpPr w:leftFromText="180" w:rightFromText="180" w:bottomFromText="200" w:vertAnchor="text" w:horzAnchor="margin" w:tblpXSpec="center" w:tblpY="13"/>
        <w:tblW w:w="99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6"/>
        <w:gridCol w:w="713"/>
        <w:gridCol w:w="572"/>
        <w:gridCol w:w="572"/>
        <w:gridCol w:w="1000"/>
        <w:gridCol w:w="715"/>
        <w:gridCol w:w="858"/>
        <w:gridCol w:w="715"/>
        <w:gridCol w:w="857"/>
        <w:gridCol w:w="1571"/>
      </w:tblGrid>
      <w:tr w:rsidR="00F1606C" w:rsidRPr="00F1606C" w:rsidTr="00F1606C">
        <w:trPr>
          <w:trHeight w:hRule="exact" w:val="171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</w:t>
            </w:r>
          </w:p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распорядителя кредитов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F1606C" w:rsidRPr="00F1606C" w:rsidRDefault="00F1606C">
            <w:pPr>
              <w:pStyle w:val="2"/>
              <w:snapToGrid w:val="0"/>
              <w:spacing w:line="276" w:lineRule="auto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r w:rsidRPr="00F1606C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Региональная классификация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F1606C" w:rsidRPr="00F1606C" w:rsidRDefault="00F1606C">
            <w:pPr>
              <w:pStyle w:val="2"/>
              <w:snapToGrid w:val="0"/>
              <w:spacing w:line="276" w:lineRule="auto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606C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Дополнительная</w:t>
            </w:r>
            <w:proofErr w:type="gramStart"/>
            <w:r w:rsidRPr="00F1606C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F1606C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лассиф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606C" w:rsidRPr="00F1606C" w:rsidRDefault="00F1606C">
            <w:pPr>
              <w:pStyle w:val="2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</w:p>
          <w:p w:rsidR="00F1606C" w:rsidRPr="00F1606C" w:rsidRDefault="00F1606C">
            <w:pPr>
              <w:pStyle w:val="2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r w:rsidRPr="00F1606C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Сумма, исполнено.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1.Общегосударственные вопросы</w:t>
            </w:r>
          </w:p>
          <w:p w:rsidR="00F1606C" w:rsidRPr="00F1606C" w:rsidRDefault="00F1606C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1576353,12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211600,00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органами местного </w:t>
            </w: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211600,00</w:t>
            </w:r>
          </w:p>
        </w:tc>
      </w:tr>
      <w:tr w:rsidR="00F1606C" w:rsidRPr="00F1606C" w:rsidTr="00F1606C">
        <w:trPr>
          <w:trHeight w:val="30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0020300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157680,00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53920,00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1.2.Функционирование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31680,00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1.3. 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1333073,12</w:t>
            </w:r>
          </w:p>
        </w:tc>
      </w:tr>
      <w:tr w:rsidR="00F1606C" w:rsidRPr="00F1606C" w:rsidTr="00F1606C">
        <w:trPr>
          <w:trHeight w:val="35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1333073,12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1016992,04</w:t>
            </w:r>
          </w:p>
        </w:tc>
      </w:tr>
      <w:tr w:rsidR="00F1606C" w:rsidRPr="00F1606C" w:rsidTr="00F1606C">
        <w:trPr>
          <w:trHeight w:val="60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1016992,04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711094,44</w:t>
            </w:r>
          </w:p>
        </w:tc>
      </w:tr>
      <w:tr w:rsidR="00F1606C" w:rsidRPr="00F1606C" w:rsidTr="00F1606C">
        <w:trPr>
          <w:trHeight w:val="25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546718,05</w:t>
            </w:r>
          </w:p>
        </w:tc>
      </w:tr>
      <w:tr w:rsidR="00F1606C" w:rsidRPr="00F1606C" w:rsidTr="00F1606C">
        <w:trPr>
          <w:trHeight w:val="19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164376,39</w:t>
            </w:r>
          </w:p>
        </w:tc>
      </w:tr>
      <w:tr w:rsidR="00F1606C" w:rsidRPr="00F1606C" w:rsidTr="00F1606C">
        <w:trPr>
          <w:trHeight w:val="19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168792,48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15763,53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Наем транспортных средств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222.1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6162,32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электрической энергии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223.1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6162,32</w:t>
            </w:r>
          </w:p>
        </w:tc>
      </w:tr>
      <w:tr w:rsidR="00F1606C" w:rsidRPr="00F1606C" w:rsidTr="00F1606C">
        <w:trPr>
          <w:trHeight w:val="11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6816,91</w:t>
            </w:r>
          </w:p>
        </w:tc>
      </w:tr>
      <w:tr w:rsidR="00F1606C" w:rsidRPr="00F1606C" w:rsidTr="00F1606C">
        <w:trPr>
          <w:trHeight w:val="11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140049,72</w:t>
            </w:r>
          </w:p>
        </w:tc>
      </w:tr>
      <w:tr w:rsidR="00F1606C" w:rsidRPr="00F1606C" w:rsidTr="00F1606C">
        <w:trPr>
          <w:trHeight w:val="11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120105,12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120105,12</w:t>
            </w:r>
          </w:p>
        </w:tc>
      </w:tr>
      <w:tr w:rsidR="00F1606C" w:rsidRPr="00F1606C" w:rsidTr="00F1606C">
        <w:trPr>
          <w:trHeight w:val="6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горюче-смазочных материалов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63267,12</w:t>
            </w:r>
          </w:p>
        </w:tc>
      </w:tr>
      <w:tr w:rsidR="00F1606C" w:rsidRPr="00F1606C" w:rsidTr="00F1606C">
        <w:trPr>
          <w:trHeight w:val="6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котельно-печного топлива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1606C" w:rsidRPr="00F1606C" w:rsidTr="00F1606C">
        <w:trPr>
          <w:trHeight w:val="6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56838,00</w:t>
            </w:r>
          </w:p>
        </w:tc>
      </w:tr>
      <w:tr w:rsidR="00F1606C" w:rsidRPr="00F1606C" w:rsidTr="00F1606C">
        <w:trPr>
          <w:trHeight w:val="6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1.4.Глава местной администрации (исполнительно- распорядительного органа </w:t>
            </w: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муниципального образования)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0020800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316081,08</w:t>
            </w:r>
          </w:p>
        </w:tc>
      </w:tr>
      <w:tr w:rsidR="00F1606C" w:rsidRPr="00F1606C" w:rsidTr="00F1606C">
        <w:trPr>
          <w:trHeight w:val="6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0020800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316081,08</w:t>
            </w:r>
          </w:p>
        </w:tc>
      </w:tr>
      <w:tr w:rsidR="00F1606C" w:rsidRPr="00F1606C" w:rsidTr="00F1606C">
        <w:trPr>
          <w:trHeight w:val="6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0020800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238815,08</w:t>
            </w:r>
          </w:p>
        </w:tc>
      </w:tr>
      <w:tr w:rsidR="00F1606C" w:rsidRPr="00F1606C" w:rsidTr="00F1606C">
        <w:trPr>
          <w:trHeight w:val="6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заработную  плату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0020800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77266,00</w:t>
            </w:r>
          </w:p>
        </w:tc>
      </w:tr>
      <w:tr w:rsidR="00F1606C" w:rsidRPr="00F1606C" w:rsidTr="00F1606C">
        <w:trPr>
          <w:trHeight w:val="6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 Резервные фонды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1606C" w:rsidRPr="00F1606C" w:rsidTr="00F1606C">
        <w:trPr>
          <w:trHeight w:val="6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2.Национальная оборона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44800,00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Мобилизация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23998,00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23998,00</w:t>
            </w:r>
          </w:p>
        </w:tc>
      </w:tr>
      <w:tr w:rsidR="00F1606C" w:rsidRPr="00F1606C" w:rsidTr="00F1606C">
        <w:trPr>
          <w:trHeight w:val="9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17882,00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6116,00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Поступления нефинансовых активов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20802,00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9816,00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10986,00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17580,00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Обеспечение пожарной безопасности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2479900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2479900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17580,00</w:t>
            </w:r>
          </w:p>
        </w:tc>
      </w:tr>
      <w:tr w:rsidR="00F1606C" w:rsidRPr="00F1606C" w:rsidTr="00F1606C">
        <w:trPr>
          <w:trHeight w:val="31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2479900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2479900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2479900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4386505,22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 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3821538,62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«Социальное развитие села до 2012 года»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688194,00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688194,00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688194,00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ДОЦП «Развитие сельского хозяйства и регулирование рынков сельскохозяйственной продукции сырья и продовольствия в Смоленской области» на 2009-2012 год.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2752778,00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2752778,00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2752778,00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бюджета </w:t>
            </w:r>
            <w:proofErr w:type="spellStart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spellEnd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образования, возникающие при выполнении полномочий органов местного самоуправления по вопросам местного значения при получении субсидий в рамках ДОЦП «Развитие сельского хозяйства и регулирование рынков сельскохозяйственной продукции сырья и продовольствия в Смоленской области» на 2009-2012 год.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5229501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181104,00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5229501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181104,00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5229501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181104,00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наказов избирателей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5210303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5210303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5210303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5210303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5210303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Cs/>
                <w:sz w:val="24"/>
                <w:szCs w:val="24"/>
              </w:rPr>
              <w:t>5462,62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Cs/>
                <w:sz w:val="24"/>
                <w:szCs w:val="24"/>
              </w:rPr>
              <w:t>5462,62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Cs/>
                <w:sz w:val="24"/>
                <w:szCs w:val="24"/>
              </w:rPr>
              <w:t>5462,62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5462,62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4.2. Благоустройство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428335,82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муниципальных образований</w:t>
            </w:r>
            <w:proofErr w:type="gramStart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возникающие при выполнении полномочий органов местного самоуправления по вопросам местного значения при получении субсидий на капитальный ремонт и строительство шахтных колодцев.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5250129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7876,00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5250129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7876,00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5250129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7876,00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420459,82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247461,88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242819,86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242819,86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210519,93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электрической энергии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223.1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210519,93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32299,93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4642,02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165720,98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165720,98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165720,98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80720,98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7276,96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7276,96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 и услуг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7276,96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услуги по содержанию </w:t>
            </w: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7276,96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4.3. Другие вопросы в области жилищно-коммунального хозяйства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136630,78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социальной и инженерной инфраструктуры субъектов Российской Федерации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136630,78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социальной и инженерной инфраструктуры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136630,78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136630,78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136630,78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136630,78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Социальная политика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Другие вопросы в области социальной политики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Физическая культура и спорт.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Массовый спорт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оздоровительная</w:t>
            </w:r>
            <w:proofErr w:type="gramEnd"/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и спортивные мероприятия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5129700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</w:tr>
      <w:tr w:rsidR="00F1606C" w:rsidRPr="00F1606C" w:rsidTr="00F1606C">
        <w:trPr>
          <w:trHeight w:val="18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b/>
                <w:sz w:val="24"/>
                <w:szCs w:val="24"/>
              </w:rPr>
              <w:t>6050738,35</w:t>
            </w:r>
          </w:p>
        </w:tc>
      </w:tr>
    </w:tbl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XSpec="right" w:tblpY="2"/>
        <w:tblOverlap w:val="never"/>
        <w:tblW w:w="3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5"/>
      </w:tblGrid>
      <w:tr w:rsidR="00F1606C" w:rsidRPr="00F1606C" w:rsidTr="00F1606C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06C" w:rsidRPr="00F1606C" w:rsidRDefault="00F160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06C">
              <w:rPr>
                <w:rFonts w:ascii="Times New Roman" w:hAnsi="Times New Roman" w:cs="Times New Roman"/>
                <w:sz w:val="16"/>
                <w:szCs w:val="16"/>
              </w:rPr>
              <w:t>Приложение №4</w:t>
            </w:r>
          </w:p>
          <w:p w:rsidR="00F1606C" w:rsidRPr="00F1606C" w:rsidRDefault="00F160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1606C">
              <w:rPr>
                <w:rFonts w:ascii="Times New Roman" w:hAnsi="Times New Roman" w:cs="Times New Roman"/>
                <w:sz w:val="16"/>
                <w:szCs w:val="16"/>
              </w:rPr>
              <w:t xml:space="preserve"> к решению  Совета  депутатов Понятовского сельского поселения Шумячского района Смоленской области от 18.04.2012г. №10 «Об исполнении  бюджета Понятовского сельского поселения Шумячского района Смоленской области на 2011 год». </w:t>
            </w:r>
          </w:p>
        </w:tc>
      </w:tr>
    </w:tbl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  <w:r w:rsidRPr="00F1606C">
        <w:rPr>
          <w:rFonts w:ascii="Times New Roman" w:hAnsi="Times New Roman" w:cs="Times New Roman"/>
          <w:b/>
        </w:rPr>
        <w:t>Источники  финансирования дефицита бюджета Понятовского сельского поселения</w:t>
      </w: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  <w:r w:rsidRPr="00F1606C">
        <w:rPr>
          <w:rFonts w:ascii="Times New Roman" w:hAnsi="Times New Roman" w:cs="Times New Roman"/>
          <w:b/>
        </w:rPr>
        <w:t>Шумячского района Смоленской области на 2011 год</w:t>
      </w:r>
    </w:p>
    <w:p w:rsidR="00F1606C" w:rsidRPr="00F1606C" w:rsidRDefault="00F1606C" w:rsidP="00F1606C">
      <w:pPr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W w:w="10200" w:type="dxa"/>
        <w:tblInd w:w="-601" w:type="dxa"/>
        <w:tblLayout w:type="fixed"/>
        <w:tblLook w:val="04A0"/>
      </w:tblPr>
      <w:tblGrid>
        <w:gridCol w:w="3826"/>
        <w:gridCol w:w="3824"/>
        <w:gridCol w:w="2550"/>
      </w:tblGrid>
      <w:tr w:rsidR="00F1606C" w:rsidRPr="00F1606C" w:rsidTr="00F1606C">
        <w:trPr>
          <w:trHeight w:val="8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606C" w:rsidRPr="00F1606C" w:rsidRDefault="00F160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</w:t>
            </w:r>
          </w:p>
          <w:p w:rsidR="00F1606C" w:rsidRPr="00F1606C" w:rsidRDefault="00F160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 xml:space="preserve"> по КИВФ, </w:t>
            </w:r>
            <w:proofErr w:type="spellStart"/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606C" w:rsidRPr="00F1606C" w:rsidRDefault="00F1606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Сумма, исполнено.</w:t>
            </w:r>
          </w:p>
        </w:tc>
      </w:tr>
      <w:tr w:rsidR="00F1606C" w:rsidRPr="00F1606C" w:rsidTr="00F160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06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16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F1606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F16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606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F16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606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F16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 w:rsidP="00F1606C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-980758,57</w:t>
            </w:r>
          </w:p>
        </w:tc>
      </w:tr>
      <w:tr w:rsidR="00F1606C" w:rsidRPr="00F1606C" w:rsidTr="00F1606C">
        <w:trPr>
          <w:trHeight w:val="5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1606C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F16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000 01 05 00 </w:t>
            </w:r>
            <w:proofErr w:type="spellStart"/>
            <w:r w:rsidRPr="00F1606C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proofErr w:type="spellEnd"/>
            <w:r w:rsidRPr="00F16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606C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proofErr w:type="spellEnd"/>
            <w:r w:rsidRPr="00F16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 w:rsidP="00F1606C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-980758,57</w:t>
            </w:r>
          </w:p>
        </w:tc>
      </w:tr>
      <w:tr w:rsidR="00F1606C" w:rsidRPr="00F1606C" w:rsidTr="00F160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 средств бюджета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1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1606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-7031496,92</w:t>
            </w:r>
          </w:p>
        </w:tc>
      </w:tr>
      <w:tr w:rsidR="00F1606C" w:rsidRPr="00F1606C" w:rsidTr="00F1606C">
        <w:trPr>
          <w:trHeight w:val="5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1606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 w:rsidP="00F1606C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606C" w:rsidRPr="00F1606C" w:rsidRDefault="00F1606C" w:rsidP="00F1606C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-7031496,92</w:t>
            </w:r>
          </w:p>
        </w:tc>
      </w:tr>
      <w:tr w:rsidR="00F1606C" w:rsidRPr="00F1606C" w:rsidTr="00F160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 денежных средств бюджета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 w:rsidP="00F1606C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606C" w:rsidRPr="00F1606C" w:rsidRDefault="00F1606C" w:rsidP="00F1606C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-7031496,92</w:t>
            </w:r>
          </w:p>
        </w:tc>
      </w:tr>
      <w:tr w:rsidR="00F1606C" w:rsidRPr="00F1606C" w:rsidTr="00F160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 средств бюджета  поселений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 w:rsidP="00F1606C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606C" w:rsidRPr="00F1606C" w:rsidRDefault="00F1606C" w:rsidP="00F1606C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-7031496,92</w:t>
            </w:r>
          </w:p>
        </w:tc>
      </w:tr>
      <w:tr w:rsidR="00F1606C" w:rsidRPr="00F1606C" w:rsidTr="00F160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 средств бюджета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1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1606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6C" w:rsidRPr="00F1606C" w:rsidRDefault="00F1606C" w:rsidP="00F1606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+6050738,35</w:t>
            </w:r>
          </w:p>
        </w:tc>
      </w:tr>
      <w:tr w:rsidR="00F1606C" w:rsidRPr="00F1606C" w:rsidTr="00F160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1606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 w:rsidP="00F1606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06C" w:rsidRPr="00F1606C" w:rsidRDefault="00F1606C" w:rsidP="00F1606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+6050738,35</w:t>
            </w:r>
          </w:p>
        </w:tc>
      </w:tr>
      <w:tr w:rsidR="00F1606C" w:rsidRPr="00F1606C" w:rsidTr="00F1606C">
        <w:trPr>
          <w:trHeight w:val="10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 денежных средств бюджета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 w:rsidP="00F1606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06C" w:rsidRPr="00F1606C" w:rsidRDefault="00F1606C" w:rsidP="00F1606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6C" w:rsidRPr="00F1606C" w:rsidRDefault="00F1606C" w:rsidP="00F1606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6C" w:rsidRPr="00F1606C" w:rsidRDefault="00F1606C" w:rsidP="00F1606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+6050738,35</w:t>
            </w:r>
          </w:p>
        </w:tc>
      </w:tr>
      <w:tr w:rsidR="00F1606C" w:rsidRPr="00F1606C" w:rsidTr="00F1606C"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средств бюджета  поселений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06C" w:rsidRPr="00F1606C" w:rsidRDefault="00F1606C" w:rsidP="00F1606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C" w:rsidRPr="00F1606C" w:rsidRDefault="00F1606C" w:rsidP="00F1606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06C" w:rsidRPr="00F1606C" w:rsidRDefault="00F1606C" w:rsidP="00F1606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6C" w:rsidRPr="00F1606C" w:rsidRDefault="00F1606C" w:rsidP="00F1606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06C">
              <w:rPr>
                <w:rFonts w:ascii="Times New Roman" w:hAnsi="Times New Roman" w:cs="Times New Roman"/>
                <w:sz w:val="24"/>
                <w:szCs w:val="24"/>
              </w:rPr>
              <w:t>+6050738,35</w:t>
            </w:r>
          </w:p>
        </w:tc>
      </w:tr>
    </w:tbl>
    <w:p w:rsidR="00F1606C" w:rsidRPr="00F1606C" w:rsidRDefault="00F1606C" w:rsidP="00F1606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F1606C">
      <w:pPr>
        <w:tabs>
          <w:tab w:val="left" w:pos="6230"/>
        </w:tabs>
        <w:ind w:firstLine="720"/>
        <w:jc w:val="center"/>
        <w:rPr>
          <w:rFonts w:ascii="Times New Roman" w:hAnsi="Times New Roman" w:cs="Times New Roman"/>
          <w:b/>
        </w:rPr>
      </w:pPr>
    </w:p>
    <w:p w:rsidR="00F1606C" w:rsidRPr="00F1606C" w:rsidRDefault="00F1606C" w:rsidP="004637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1606C" w:rsidRPr="00F1606C" w:rsidSect="00FA50E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1395"/>
      </w:pPr>
    </w:lvl>
    <w:lvl w:ilvl="1">
      <w:start w:val="1"/>
      <w:numFmt w:val="decimal"/>
      <w:lvlText w:val="%1.%2"/>
      <w:lvlJc w:val="left"/>
      <w:pPr>
        <w:tabs>
          <w:tab w:val="num" w:pos="2261"/>
        </w:tabs>
        <w:ind w:left="2261" w:hanging="1410"/>
      </w:pPr>
    </w:lvl>
    <w:lvl w:ilvl="2">
      <w:start w:val="1"/>
      <w:numFmt w:val="decimal"/>
      <w:lvlText w:val="%1.%2.%3"/>
      <w:lvlJc w:val="left"/>
      <w:pPr>
        <w:tabs>
          <w:tab w:val="num" w:pos="2261"/>
        </w:tabs>
        <w:ind w:left="2261" w:hanging="1410"/>
      </w:pPr>
    </w:lvl>
    <w:lvl w:ilvl="3">
      <w:start w:val="1"/>
      <w:numFmt w:val="decimal"/>
      <w:lvlText w:val="%1.%2.%3.%4"/>
      <w:lvlJc w:val="left"/>
      <w:pPr>
        <w:tabs>
          <w:tab w:val="num" w:pos="2261"/>
        </w:tabs>
        <w:ind w:left="2261" w:hanging="1410"/>
      </w:pPr>
    </w:lvl>
    <w:lvl w:ilvl="4">
      <w:start w:val="1"/>
      <w:numFmt w:val="decimal"/>
      <w:lvlText w:val="%1.%2.%3.%4.%5"/>
      <w:lvlJc w:val="left"/>
      <w:pPr>
        <w:tabs>
          <w:tab w:val="num" w:pos="2261"/>
        </w:tabs>
        <w:ind w:left="2261" w:hanging="1410"/>
      </w:pPr>
    </w:lvl>
    <w:lvl w:ilvl="5">
      <w:start w:val="1"/>
      <w:numFmt w:val="decimal"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1">
    <w:nsid w:val="03090CE5"/>
    <w:multiLevelType w:val="hybridMultilevel"/>
    <w:tmpl w:val="8B5CA8CE"/>
    <w:lvl w:ilvl="0" w:tplc="9A46DE0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0E2"/>
    <w:rsid w:val="00066501"/>
    <w:rsid w:val="000855DD"/>
    <w:rsid w:val="000A0D03"/>
    <w:rsid w:val="000E164F"/>
    <w:rsid w:val="00151071"/>
    <w:rsid w:val="001D68D8"/>
    <w:rsid w:val="002627FD"/>
    <w:rsid w:val="00292F1C"/>
    <w:rsid w:val="00355D5D"/>
    <w:rsid w:val="003C38E6"/>
    <w:rsid w:val="003E300C"/>
    <w:rsid w:val="003F6E0D"/>
    <w:rsid w:val="004637FD"/>
    <w:rsid w:val="00465793"/>
    <w:rsid w:val="004C35E1"/>
    <w:rsid w:val="005059BB"/>
    <w:rsid w:val="00552107"/>
    <w:rsid w:val="00620534"/>
    <w:rsid w:val="006E1A58"/>
    <w:rsid w:val="006E7989"/>
    <w:rsid w:val="007360C3"/>
    <w:rsid w:val="0074170D"/>
    <w:rsid w:val="007837D0"/>
    <w:rsid w:val="008A41D0"/>
    <w:rsid w:val="008F1AA9"/>
    <w:rsid w:val="00915695"/>
    <w:rsid w:val="00933FE9"/>
    <w:rsid w:val="00934B24"/>
    <w:rsid w:val="009B58CC"/>
    <w:rsid w:val="009E0C60"/>
    <w:rsid w:val="00A3788C"/>
    <w:rsid w:val="00A51623"/>
    <w:rsid w:val="00A91F56"/>
    <w:rsid w:val="00AA0A4A"/>
    <w:rsid w:val="00AE45AF"/>
    <w:rsid w:val="00BA10E4"/>
    <w:rsid w:val="00C70442"/>
    <w:rsid w:val="00CC1B4F"/>
    <w:rsid w:val="00D205D2"/>
    <w:rsid w:val="00D739CA"/>
    <w:rsid w:val="00D8258A"/>
    <w:rsid w:val="00D875B8"/>
    <w:rsid w:val="00D91B89"/>
    <w:rsid w:val="00D94120"/>
    <w:rsid w:val="00DF1E4D"/>
    <w:rsid w:val="00E22363"/>
    <w:rsid w:val="00E22666"/>
    <w:rsid w:val="00F1606C"/>
    <w:rsid w:val="00F16E09"/>
    <w:rsid w:val="00F335CD"/>
    <w:rsid w:val="00FA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03"/>
  </w:style>
  <w:style w:type="paragraph" w:styleId="1">
    <w:name w:val="heading 1"/>
    <w:basedOn w:val="a"/>
    <w:next w:val="a"/>
    <w:link w:val="10"/>
    <w:qFormat/>
    <w:rsid w:val="00F160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F1606C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A5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A50E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0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50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1606C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1606C"/>
    <w:rPr>
      <w:rFonts w:ascii="Arial" w:eastAsia="Times New Roman" w:hAnsi="Arial" w:cs="Arial"/>
      <w:i/>
      <w:iCs/>
      <w:sz w:val="28"/>
      <w:szCs w:val="28"/>
      <w:lang w:val="en-US" w:eastAsia="en-US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F1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6">
    <w:name w:val="footnote text"/>
    <w:basedOn w:val="a"/>
    <w:link w:val="a7"/>
    <w:semiHidden/>
    <w:unhideWhenUsed/>
    <w:rsid w:val="00F16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1606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16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1606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F16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1606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F1606C"/>
    <w:pPr>
      <w:widowControl w:val="0"/>
      <w:autoSpaceDE w:val="0"/>
      <w:autoSpaceDN w:val="0"/>
      <w:adjustRightInd w:val="0"/>
      <w:spacing w:after="0" w:line="360" w:lineRule="auto"/>
      <w:ind w:left="2246" w:hanging="140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F1606C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10"/>
    <w:semiHidden/>
    <w:unhideWhenUsed/>
    <w:rsid w:val="00F1606C"/>
    <w:pPr>
      <w:widowControl w:val="0"/>
      <w:autoSpaceDE w:val="0"/>
      <w:autoSpaceDN w:val="0"/>
      <w:adjustRightInd w:val="0"/>
      <w:spacing w:after="0" w:line="360" w:lineRule="auto"/>
      <w:ind w:left="2246" w:hanging="12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F1606C"/>
  </w:style>
  <w:style w:type="paragraph" w:customStyle="1" w:styleId="ConsTitle">
    <w:name w:val="ConsTitle"/>
    <w:rsid w:val="00F16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e">
    <w:name w:val="Содержимое таблицы"/>
    <w:basedOn w:val="a"/>
    <w:rsid w:val="00F1606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210">
    <w:name w:val="Основной текст с отступом 2 Знак1"/>
    <w:basedOn w:val="a0"/>
    <w:link w:val="22"/>
    <w:semiHidden/>
    <w:locked/>
    <w:rsid w:val="00F1606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VITALIY</cp:lastModifiedBy>
  <cp:revision>26</cp:revision>
  <cp:lastPrinted>2012-04-10T12:42:00Z</cp:lastPrinted>
  <dcterms:created xsi:type="dcterms:W3CDTF">2012-03-29T10:40:00Z</dcterms:created>
  <dcterms:modified xsi:type="dcterms:W3CDTF">2012-10-24T11:35:00Z</dcterms:modified>
</cp:coreProperties>
</file>