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D5" w:rsidRDefault="001E1CD5" w:rsidP="001E1CD5">
      <w:pPr>
        <w:rPr>
          <w:b/>
          <w:sz w:val="24"/>
          <w:szCs w:val="24"/>
        </w:rPr>
      </w:pPr>
    </w:p>
    <w:p w:rsidR="001E1CD5" w:rsidRDefault="001E1CD5" w:rsidP="001E1CD5">
      <w:pPr>
        <w:jc w:val="center"/>
        <w:rPr>
          <w:b/>
          <w:sz w:val="24"/>
          <w:szCs w:val="24"/>
        </w:rPr>
      </w:pPr>
    </w:p>
    <w:p w:rsidR="001E1CD5" w:rsidRDefault="001E1CD5" w:rsidP="001E1CD5">
      <w:pPr>
        <w:jc w:val="center"/>
        <w:rPr>
          <w:b/>
          <w:sz w:val="24"/>
          <w:szCs w:val="24"/>
        </w:rPr>
      </w:pPr>
      <w:r>
        <w:rPr>
          <w:b/>
          <w:sz w:val="24"/>
          <w:szCs w:val="24"/>
        </w:rPr>
        <w:t>АДМИНСТРАЦИИ ПОНЯТОВСКОГО СЕЛЬСКОГО ПОСЕЛЕНИЯ</w:t>
      </w:r>
    </w:p>
    <w:p w:rsidR="001E1CD5" w:rsidRDefault="001E1CD5" w:rsidP="001E1CD5">
      <w:pPr>
        <w:rPr>
          <w:b/>
          <w:sz w:val="24"/>
          <w:szCs w:val="24"/>
        </w:rPr>
      </w:pPr>
      <w:r>
        <w:rPr>
          <w:b/>
          <w:sz w:val="24"/>
          <w:szCs w:val="24"/>
        </w:rPr>
        <w:t xml:space="preserve">                      ШУМЯЧСКОГО РАЙОНА СМОЛЕНСКОЙ ОБЛАСТИ</w:t>
      </w:r>
    </w:p>
    <w:p w:rsidR="001E1CD5" w:rsidRDefault="001E1CD5" w:rsidP="001E1CD5">
      <w:pPr>
        <w:rPr>
          <w:b/>
          <w:sz w:val="28"/>
          <w:szCs w:val="28"/>
        </w:rPr>
      </w:pPr>
    </w:p>
    <w:p w:rsidR="001E1CD5" w:rsidRDefault="001E1CD5" w:rsidP="001E1CD5">
      <w:pPr>
        <w:jc w:val="center"/>
        <w:rPr>
          <w:b/>
          <w:sz w:val="24"/>
          <w:szCs w:val="24"/>
        </w:rPr>
      </w:pPr>
      <w:r>
        <w:rPr>
          <w:b/>
          <w:sz w:val="24"/>
          <w:szCs w:val="24"/>
        </w:rPr>
        <w:t>РАСПОРЯЖЕНИЕ</w:t>
      </w:r>
    </w:p>
    <w:p w:rsidR="001E1CD5" w:rsidRDefault="001E1CD5" w:rsidP="001E1CD5">
      <w:pPr>
        <w:jc w:val="center"/>
        <w:rPr>
          <w:sz w:val="28"/>
          <w:szCs w:val="28"/>
        </w:rPr>
      </w:pPr>
    </w:p>
    <w:p w:rsidR="001E1CD5" w:rsidRDefault="001E1CD5" w:rsidP="001E1CD5">
      <w:pPr>
        <w:rPr>
          <w:sz w:val="24"/>
          <w:szCs w:val="24"/>
        </w:rPr>
      </w:pPr>
      <w:r>
        <w:rPr>
          <w:sz w:val="24"/>
          <w:szCs w:val="24"/>
        </w:rPr>
        <w:t>27 сентября 2016 года                                                         №  15</w:t>
      </w:r>
    </w:p>
    <w:p w:rsidR="001E1CD5" w:rsidRDefault="001E1CD5" w:rsidP="001E1CD5">
      <w:pPr>
        <w:rPr>
          <w:sz w:val="28"/>
          <w:szCs w:val="28"/>
        </w:rPr>
      </w:pPr>
      <w:r>
        <w:rPr>
          <w:sz w:val="24"/>
          <w:szCs w:val="24"/>
        </w:rPr>
        <w:t>ст. Понятовка</w:t>
      </w:r>
    </w:p>
    <w:p w:rsidR="00DA2FFF" w:rsidRDefault="00DA2FFF" w:rsidP="001E1CD5">
      <w:pPr>
        <w:rPr>
          <w:sz w:val="28"/>
          <w:szCs w:val="28"/>
        </w:rPr>
      </w:pPr>
    </w:p>
    <w:p w:rsidR="001E1CD5" w:rsidRDefault="001E1CD5" w:rsidP="001E1CD5">
      <w:pPr>
        <w:rPr>
          <w:sz w:val="24"/>
          <w:szCs w:val="24"/>
        </w:rPr>
      </w:pPr>
      <w:r>
        <w:rPr>
          <w:sz w:val="24"/>
          <w:szCs w:val="24"/>
        </w:rPr>
        <w:t xml:space="preserve">Об оценке эффективности </w:t>
      </w:r>
      <w:proofErr w:type="gramStart"/>
      <w:r>
        <w:rPr>
          <w:sz w:val="24"/>
          <w:szCs w:val="24"/>
        </w:rPr>
        <w:t>предоставленных</w:t>
      </w:r>
      <w:proofErr w:type="gramEnd"/>
      <w:r>
        <w:rPr>
          <w:sz w:val="24"/>
          <w:szCs w:val="24"/>
        </w:rPr>
        <w:t xml:space="preserve"> </w:t>
      </w:r>
    </w:p>
    <w:p w:rsidR="001E1CD5" w:rsidRDefault="001E1CD5" w:rsidP="001E1CD5">
      <w:pPr>
        <w:rPr>
          <w:sz w:val="24"/>
          <w:szCs w:val="24"/>
        </w:rPr>
      </w:pPr>
      <w:r>
        <w:rPr>
          <w:sz w:val="24"/>
          <w:szCs w:val="24"/>
        </w:rPr>
        <w:t>(</w:t>
      </w:r>
      <w:proofErr w:type="gramStart"/>
      <w:r>
        <w:rPr>
          <w:sz w:val="24"/>
          <w:szCs w:val="24"/>
        </w:rPr>
        <w:t>планируемых</w:t>
      </w:r>
      <w:proofErr w:type="gramEnd"/>
      <w:r>
        <w:rPr>
          <w:sz w:val="24"/>
          <w:szCs w:val="24"/>
        </w:rPr>
        <w:t xml:space="preserve">     к               предоставлению)  </w:t>
      </w:r>
    </w:p>
    <w:p w:rsidR="001E1CD5" w:rsidRDefault="001E1CD5" w:rsidP="001E1CD5">
      <w:pPr>
        <w:rPr>
          <w:sz w:val="28"/>
          <w:szCs w:val="28"/>
        </w:rPr>
      </w:pPr>
      <w:r>
        <w:rPr>
          <w:sz w:val="24"/>
          <w:szCs w:val="24"/>
        </w:rPr>
        <w:t>налоговых    льгот   по    местным     налогам</w:t>
      </w:r>
    </w:p>
    <w:p w:rsidR="001E1CD5" w:rsidRDefault="001E1CD5" w:rsidP="001E1CD5">
      <w:pPr>
        <w:pStyle w:val="3"/>
        <w:jc w:val="left"/>
        <w:rPr>
          <w:bCs/>
          <w:color w:val="000000"/>
          <w:sz w:val="32"/>
          <w:szCs w:val="32"/>
        </w:rPr>
      </w:pPr>
    </w:p>
    <w:p w:rsidR="001E1CD5" w:rsidRDefault="001E1CD5" w:rsidP="001E1CD5">
      <w:pPr>
        <w:pStyle w:val="3"/>
        <w:jc w:val="both"/>
        <w:rPr>
          <w:sz w:val="24"/>
          <w:szCs w:val="24"/>
        </w:rPr>
      </w:pPr>
      <w:r>
        <w:rPr>
          <w:bCs/>
          <w:color w:val="000000"/>
          <w:sz w:val="24"/>
          <w:szCs w:val="24"/>
        </w:rPr>
        <w:t xml:space="preserve">         </w:t>
      </w:r>
      <w:proofErr w:type="gramStart"/>
      <w:r>
        <w:rPr>
          <w:bCs/>
          <w:color w:val="000000"/>
          <w:sz w:val="24"/>
          <w:szCs w:val="24"/>
        </w:rPr>
        <w:t>В соответствии с Постановлением Администрации Понятовского сельского поселения Шумячского района Смоленской  от 04.04.2016г. № 33 «Об утверждении Порядка и Методики оценки эффективности представленных (планируемых к представлению) налоговых льгот по местным налогам),  Администрация Понятовского сельского поселения Шумячского района Смоленской области утверждает оценку эффективности предоставленных налоговых льгот по местным налогам за 2015 год,  установленных решениями Совета депутатов Понятовского сельского поселения Шумячского района</w:t>
      </w:r>
      <w:proofErr w:type="gramEnd"/>
      <w:r>
        <w:rPr>
          <w:bCs/>
          <w:color w:val="000000"/>
          <w:sz w:val="24"/>
          <w:szCs w:val="24"/>
        </w:rPr>
        <w:t xml:space="preserve"> Смоленской области</w:t>
      </w:r>
    </w:p>
    <w:p w:rsidR="001E1CD5" w:rsidRDefault="001E1CD5" w:rsidP="001E1CD5">
      <w:pPr>
        <w:rPr>
          <w:sz w:val="24"/>
          <w:szCs w:val="24"/>
        </w:rPr>
      </w:pPr>
    </w:p>
    <w:p w:rsidR="001E1CD5" w:rsidRDefault="001E1CD5" w:rsidP="001E1CD5">
      <w:pPr>
        <w:jc w:val="center"/>
        <w:rPr>
          <w:sz w:val="24"/>
          <w:szCs w:val="24"/>
        </w:rPr>
      </w:pPr>
      <w:r>
        <w:rPr>
          <w:sz w:val="24"/>
          <w:szCs w:val="24"/>
        </w:rPr>
        <w:t>Результаты оценки эффективности</w:t>
      </w:r>
    </w:p>
    <w:p w:rsidR="001E1CD5" w:rsidRDefault="001E1CD5" w:rsidP="001E1CD5">
      <w:pPr>
        <w:jc w:val="center"/>
        <w:rPr>
          <w:sz w:val="24"/>
          <w:szCs w:val="24"/>
        </w:rPr>
      </w:pPr>
      <w:r>
        <w:rPr>
          <w:sz w:val="24"/>
          <w:szCs w:val="24"/>
        </w:rPr>
        <w:t>предоставленных (планируемых к представлению) налоговых льгот по местным налогам</w:t>
      </w:r>
    </w:p>
    <w:p w:rsidR="00DA2FFF" w:rsidRDefault="001E1CD5" w:rsidP="00DA2FFF">
      <w:pPr>
        <w:jc w:val="center"/>
        <w:rPr>
          <w:sz w:val="24"/>
          <w:szCs w:val="24"/>
        </w:rPr>
      </w:pPr>
      <w:r>
        <w:rPr>
          <w:sz w:val="24"/>
          <w:szCs w:val="24"/>
        </w:rPr>
        <w:t>по состоянию на «01» сентября 2016 года</w:t>
      </w:r>
    </w:p>
    <w:p w:rsidR="001E1CD5" w:rsidRDefault="001E1CD5" w:rsidP="001E1CD5">
      <w:pPr>
        <w:jc w:val="center"/>
        <w:rPr>
          <w:sz w:val="24"/>
          <w:szCs w:val="24"/>
        </w:rPr>
      </w:pPr>
    </w:p>
    <w:tbl>
      <w:tblPr>
        <w:tblW w:w="99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1573"/>
        <w:gridCol w:w="1560"/>
        <w:gridCol w:w="992"/>
        <w:gridCol w:w="1134"/>
        <w:gridCol w:w="1205"/>
        <w:gridCol w:w="1457"/>
        <w:gridCol w:w="1428"/>
      </w:tblGrid>
      <w:tr w:rsidR="001E1CD5" w:rsidTr="001E1CD5">
        <w:tc>
          <w:tcPr>
            <w:tcW w:w="554" w:type="dxa"/>
            <w:tcBorders>
              <w:top w:val="single" w:sz="4" w:space="0" w:color="auto"/>
              <w:left w:val="single" w:sz="4" w:space="0" w:color="auto"/>
              <w:bottom w:val="single" w:sz="4" w:space="0" w:color="auto"/>
              <w:right w:val="single" w:sz="4" w:space="0" w:color="auto"/>
            </w:tcBorders>
          </w:tcPr>
          <w:p w:rsidR="001E1CD5" w:rsidRDefault="001E1CD5"/>
        </w:tc>
        <w:tc>
          <w:tcPr>
            <w:tcW w:w="1573" w:type="dxa"/>
            <w:tcBorders>
              <w:top w:val="single" w:sz="4" w:space="0" w:color="auto"/>
              <w:left w:val="single" w:sz="4" w:space="0" w:color="auto"/>
              <w:bottom w:val="single" w:sz="4" w:space="0" w:color="auto"/>
              <w:right w:val="single" w:sz="4" w:space="0" w:color="auto"/>
            </w:tcBorders>
            <w:hideMark/>
          </w:tcPr>
          <w:p w:rsidR="001E1CD5" w:rsidRDefault="001E1CD5">
            <w:r>
              <w:t>Наименование налога</w:t>
            </w:r>
          </w:p>
        </w:tc>
        <w:tc>
          <w:tcPr>
            <w:tcW w:w="1560" w:type="dxa"/>
            <w:tcBorders>
              <w:top w:val="single" w:sz="4" w:space="0" w:color="auto"/>
              <w:left w:val="single" w:sz="4" w:space="0" w:color="auto"/>
              <w:bottom w:val="single" w:sz="4" w:space="0" w:color="auto"/>
              <w:right w:val="single" w:sz="4" w:space="0" w:color="auto"/>
            </w:tcBorders>
            <w:hideMark/>
          </w:tcPr>
          <w:p w:rsidR="001E1CD5" w:rsidRDefault="001E1CD5">
            <w:r>
              <w:t>Содержание льготы</w:t>
            </w:r>
          </w:p>
        </w:tc>
        <w:tc>
          <w:tcPr>
            <w:tcW w:w="992" w:type="dxa"/>
            <w:tcBorders>
              <w:top w:val="single" w:sz="4" w:space="0" w:color="auto"/>
              <w:left w:val="single" w:sz="4" w:space="0" w:color="auto"/>
              <w:bottom w:val="single" w:sz="4" w:space="0" w:color="auto"/>
              <w:right w:val="single" w:sz="4" w:space="0" w:color="auto"/>
            </w:tcBorders>
            <w:hideMark/>
          </w:tcPr>
          <w:p w:rsidR="001E1CD5" w:rsidRDefault="001E1CD5">
            <w:r>
              <w:t>Величина потерь бюджета поселения в результате применения льготы (тыс. руб.)</w:t>
            </w:r>
          </w:p>
        </w:tc>
        <w:tc>
          <w:tcPr>
            <w:tcW w:w="1134" w:type="dxa"/>
            <w:tcBorders>
              <w:top w:val="single" w:sz="4" w:space="0" w:color="auto"/>
              <w:left w:val="single" w:sz="4" w:space="0" w:color="auto"/>
              <w:bottom w:val="single" w:sz="4" w:space="0" w:color="auto"/>
              <w:right w:val="single" w:sz="4" w:space="0" w:color="auto"/>
            </w:tcBorders>
            <w:hideMark/>
          </w:tcPr>
          <w:p w:rsidR="001E1CD5" w:rsidRDefault="001E1CD5">
            <w:r>
              <w:t>Поступления по налогам за год (тыс. руб.)</w:t>
            </w:r>
          </w:p>
        </w:tc>
        <w:tc>
          <w:tcPr>
            <w:tcW w:w="1205" w:type="dxa"/>
            <w:tcBorders>
              <w:top w:val="single" w:sz="4" w:space="0" w:color="auto"/>
              <w:left w:val="single" w:sz="4" w:space="0" w:color="auto"/>
              <w:bottom w:val="single" w:sz="4" w:space="0" w:color="auto"/>
              <w:right w:val="single" w:sz="4" w:space="0" w:color="auto"/>
            </w:tcBorders>
            <w:hideMark/>
          </w:tcPr>
          <w:p w:rsidR="001E1CD5" w:rsidRDefault="001E1CD5">
            <w:r>
              <w:t>Бюджетная эффективность налоговой льготы</w:t>
            </w:r>
          </w:p>
        </w:tc>
        <w:tc>
          <w:tcPr>
            <w:tcW w:w="1457" w:type="dxa"/>
            <w:tcBorders>
              <w:top w:val="single" w:sz="4" w:space="0" w:color="auto"/>
              <w:left w:val="single" w:sz="4" w:space="0" w:color="auto"/>
              <w:bottom w:val="single" w:sz="4" w:space="0" w:color="auto"/>
              <w:right w:val="single" w:sz="4" w:space="0" w:color="auto"/>
            </w:tcBorders>
            <w:hideMark/>
          </w:tcPr>
          <w:p w:rsidR="001E1CD5" w:rsidRDefault="001E1CD5">
            <w:r>
              <w:t xml:space="preserve">Экономическая эффективность налоговой льготы </w:t>
            </w:r>
          </w:p>
        </w:tc>
        <w:tc>
          <w:tcPr>
            <w:tcW w:w="1428" w:type="dxa"/>
            <w:tcBorders>
              <w:top w:val="single" w:sz="4" w:space="0" w:color="auto"/>
              <w:left w:val="single" w:sz="4" w:space="0" w:color="auto"/>
              <w:bottom w:val="single" w:sz="4" w:space="0" w:color="auto"/>
              <w:right w:val="single" w:sz="4" w:space="0" w:color="auto"/>
            </w:tcBorders>
            <w:hideMark/>
          </w:tcPr>
          <w:p w:rsidR="001E1CD5" w:rsidRDefault="001E1CD5">
            <w:r>
              <w:t>Социальная эффективность налоговой льготы</w:t>
            </w:r>
          </w:p>
        </w:tc>
      </w:tr>
      <w:tr w:rsidR="001E1CD5" w:rsidTr="001E1CD5">
        <w:tc>
          <w:tcPr>
            <w:tcW w:w="554" w:type="dxa"/>
            <w:tcBorders>
              <w:top w:val="single" w:sz="4" w:space="0" w:color="auto"/>
              <w:left w:val="single" w:sz="4" w:space="0" w:color="auto"/>
              <w:bottom w:val="single" w:sz="4" w:space="0" w:color="auto"/>
              <w:right w:val="single" w:sz="4" w:space="0" w:color="auto"/>
            </w:tcBorders>
          </w:tcPr>
          <w:p w:rsidR="001E1CD5" w:rsidRDefault="001E1CD5"/>
        </w:tc>
        <w:tc>
          <w:tcPr>
            <w:tcW w:w="1573" w:type="dxa"/>
            <w:tcBorders>
              <w:top w:val="single" w:sz="4" w:space="0" w:color="auto"/>
              <w:left w:val="single" w:sz="4" w:space="0" w:color="auto"/>
              <w:bottom w:val="single" w:sz="4" w:space="0" w:color="auto"/>
              <w:right w:val="single" w:sz="4" w:space="0" w:color="auto"/>
            </w:tcBorders>
            <w:hideMark/>
          </w:tcPr>
          <w:p w:rsidR="001E1CD5" w:rsidRPr="00DA2FFF" w:rsidRDefault="001E1CD5">
            <w:r w:rsidRPr="00DA2FFF">
              <w:t>Земельный налог с физических лиц</w:t>
            </w:r>
          </w:p>
        </w:tc>
        <w:tc>
          <w:tcPr>
            <w:tcW w:w="1560" w:type="dxa"/>
            <w:tcBorders>
              <w:top w:val="single" w:sz="4" w:space="0" w:color="auto"/>
              <w:left w:val="single" w:sz="4" w:space="0" w:color="auto"/>
              <w:bottom w:val="single" w:sz="4" w:space="0" w:color="auto"/>
              <w:right w:val="single" w:sz="4" w:space="0" w:color="auto"/>
            </w:tcBorders>
            <w:hideMark/>
          </w:tcPr>
          <w:p w:rsidR="001E1CD5" w:rsidRPr="00DA2FFF" w:rsidRDefault="001E1CD5">
            <w:r w:rsidRPr="00DA2FFF">
              <w:t xml:space="preserve">Освобождение от </w:t>
            </w:r>
            <w:proofErr w:type="spellStart"/>
            <w:r w:rsidRPr="00DA2FFF">
              <w:t>налогооблаже</w:t>
            </w:r>
            <w:r w:rsidR="00674FA8" w:rsidRPr="00DA2FFF">
              <w:t>-</w:t>
            </w:r>
            <w:r w:rsidRPr="00DA2FFF">
              <w:t>ния</w:t>
            </w:r>
            <w:proofErr w:type="spellEnd"/>
            <w:r w:rsidR="00674FA8" w:rsidRPr="00DA2FFF">
              <w:t xml:space="preserve"> </w:t>
            </w:r>
            <w:proofErr w:type="spellStart"/>
            <w:r w:rsidR="00674FA8" w:rsidRPr="00DA2FFF">
              <w:t>многоде</w:t>
            </w:r>
            <w:proofErr w:type="gramStart"/>
            <w:r w:rsidR="00674FA8" w:rsidRPr="00DA2FFF">
              <w:t>т</w:t>
            </w:r>
            <w:proofErr w:type="spellEnd"/>
            <w:r w:rsidR="00674FA8" w:rsidRPr="00DA2FFF">
              <w:t>-</w:t>
            </w:r>
            <w:proofErr w:type="gramEnd"/>
            <w:r w:rsidR="00674FA8" w:rsidRPr="00DA2FFF">
              <w:t xml:space="preserve"> </w:t>
            </w:r>
            <w:proofErr w:type="spellStart"/>
            <w:r w:rsidR="00674FA8" w:rsidRPr="00DA2FFF">
              <w:t>ных</w:t>
            </w:r>
            <w:proofErr w:type="spellEnd"/>
            <w:r w:rsidR="00674FA8" w:rsidRPr="00DA2FFF">
              <w:t xml:space="preserve"> семей, </w:t>
            </w:r>
            <w:r w:rsidR="00DA2FFF" w:rsidRPr="00DA2FFF">
              <w:t xml:space="preserve">ветеранов  и </w:t>
            </w:r>
            <w:r w:rsidR="00674FA8" w:rsidRPr="00DA2FFF">
              <w:t>инвалидов ВОВ</w:t>
            </w:r>
            <w:r w:rsidR="00DA2FFF" w:rsidRPr="00DA2FFF">
              <w:t>, а также ветеранов и инвалидов боевых действий</w:t>
            </w:r>
          </w:p>
        </w:tc>
        <w:tc>
          <w:tcPr>
            <w:tcW w:w="992" w:type="dxa"/>
            <w:tcBorders>
              <w:top w:val="single" w:sz="4" w:space="0" w:color="auto"/>
              <w:left w:val="single" w:sz="4" w:space="0" w:color="auto"/>
              <w:bottom w:val="single" w:sz="4" w:space="0" w:color="auto"/>
              <w:right w:val="single" w:sz="4" w:space="0" w:color="auto"/>
            </w:tcBorders>
            <w:hideMark/>
          </w:tcPr>
          <w:p w:rsidR="001E1CD5" w:rsidRPr="00DA2FFF" w:rsidRDefault="00674FA8" w:rsidP="00DA2FFF">
            <w:r w:rsidRPr="00DA2FFF">
              <w:t>0</w:t>
            </w:r>
          </w:p>
        </w:tc>
        <w:tc>
          <w:tcPr>
            <w:tcW w:w="1134" w:type="dxa"/>
            <w:tcBorders>
              <w:top w:val="single" w:sz="4" w:space="0" w:color="auto"/>
              <w:left w:val="single" w:sz="4" w:space="0" w:color="auto"/>
              <w:bottom w:val="single" w:sz="4" w:space="0" w:color="auto"/>
              <w:right w:val="single" w:sz="4" w:space="0" w:color="auto"/>
            </w:tcBorders>
            <w:hideMark/>
          </w:tcPr>
          <w:p w:rsidR="001E1CD5" w:rsidRPr="00DA2FFF" w:rsidRDefault="00674FA8" w:rsidP="00DA2FFF">
            <w:r w:rsidRPr="00DA2FFF">
              <w:t>265,0</w:t>
            </w:r>
          </w:p>
        </w:tc>
        <w:tc>
          <w:tcPr>
            <w:tcW w:w="1205" w:type="dxa"/>
            <w:tcBorders>
              <w:top w:val="single" w:sz="4" w:space="0" w:color="auto"/>
              <w:left w:val="single" w:sz="4" w:space="0" w:color="auto"/>
              <w:bottom w:val="single" w:sz="4" w:space="0" w:color="auto"/>
              <w:right w:val="single" w:sz="4" w:space="0" w:color="auto"/>
            </w:tcBorders>
            <w:hideMark/>
          </w:tcPr>
          <w:p w:rsidR="001E1CD5" w:rsidRPr="00DA2FFF" w:rsidRDefault="00DA2FFF" w:rsidP="00DA2FFF">
            <w:r w:rsidRPr="00DA2FFF">
              <w:t>0</w:t>
            </w:r>
          </w:p>
        </w:tc>
        <w:tc>
          <w:tcPr>
            <w:tcW w:w="1457" w:type="dxa"/>
            <w:tcBorders>
              <w:top w:val="single" w:sz="4" w:space="0" w:color="auto"/>
              <w:left w:val="single" w:sz="4" w:space="0" w:color="auto"/>
              <w:bottom w:val="single" w:sz="4" w:space="0" w:color="auto"/>
              <w:right w:val="single" w:sz="4" w:space="0" w:color="auto"/>
            </w:tcBorders>
            <w:hideMark/>
          </w:tcPr>
          <w:p w:rsidR="001E1CD5" w:rsidRPr="00DA2FFF" w:rsidRDefault="001E1CD5" w:rsidP="00DA2FFF">
            <w:r w:rsidRPr="00DA2FFF">
              <w:t>-</w:t>
            </w:r>
          </w:p>
        </w:tc>
        <w:tc>
          <w:tcPr>
            <w:tcW w:w="1428" w:type="dxa"/>
            <w:tcBorders>
              <w:top w:val="single" w:sz="4" w:space="0" w:color="auto"/>
              <w:left w:val="single" w:sz="4" w:space="0" w:color="auto"/>
              <w:bottom w:val="single" w:sz="4" w:space="0" w:color="auto"/>
              <w:right w:val="single" w:sz="4" w:space="0" w:color="auto"/>
            </w:tcBorders>
            <w:hideMark/>
          </w:tcPr>
          <w:p w:rsidR="001E1CD5" w:rsidRPr="00DA2FFF" w:rsidRDefault="001E1CD5" w:rsidP="00DA2FFF">
            <w:r w:rsidRPr="00DA2FFF">
              <w:t xml:space="preserve">Налоговой льготой пользуются </w:t>
            </w:r>
            <w:r w:rsidR="00DA2FFF" w:rsidRPr="00DA2FFF">
              <w:t xml:space="preserve"> </w:t>
            </w:r>
            <w:r w:rsidR="00674FA8" w:rsidRPr="00DA2FFF">
              <w:t>0</w:t>
            </w:r>
            <w:r w:rsidR="00DA2FFF" w:rsidRPr="00DA2FFF">
              <w:t xml:space="preserve"> </w:t>
            </w:r>
            <w:r w:rsidRPr="00DA2FFF">
              <w:t>налогоплательщиков</w:t>
            </w:r>
          </w:p>
        </w:tc>
      </w:tr>
    </w:tbl>
    <w:p w:rsidR="001E1CD5" w:rsidRDefault="001E1CD5" w:rsidP="001E1CD5">
      <w:pPr>
        <w:jc w:val="center"/>
      </w:pPr>
    </w:p>
    <w:p w:rsidR="00DA2FFF" w:rsidRDefault="00DA2FFF" w:rsidP="001E1CD5">
      <w:pPr>
        <w:rPr>
          <w:bCs/>
          <w:sz w:val="24"/>
          <w:szCs w:val="24"/>
        </w:rPr>
      </w:pPr>
    </w:p>
    <w:p w:rsidR="00DA2FFF" w:rsidRDefault="00DA2FFF" w:rsidP="001E1CD5">
      <w:pPr>
        <w:rPr>
          <w:bCs/>
          <w:sz w:val="24"/>
          <w:szCs w:val="24"/>
        </w:rPr>
      </w:pPr>
      <w:r>
        <w:rPr>
          <w:bCs/>
          <w:sz w:val="24"/>
          <w:szCs w:val="24"/>
        </w:rPr>
        <w:lastRenderedPageBreak/>
        <w:t>Налоговыми льготами никто не пользуются. Предоставление дополнительных налоговых льгот не планируется.</w:t>
      </w:r>
    </w:p>
    <w:p w:rsidR="00DA2FFF" w:rsidRDefault="00DA2FFF" w:rsidP="001E1CD5">
      <w:pPr>
        <w:rPr>
          <w:bCs/>
          <w:sz w:val="24"/>
          <w:szCs w:val="24"/>
        </w:rPr>
      </w:pPr>
    </w:p>
    <w:p w:rsidR="00DA2FFF" w:rsidRDefault="00DA2FFF" w:rsidP="001E1CD5">
      <w:pPr>
        <w:rPr>
          <w:bCs/>
          <w:sz w:val="24"/>
          <w:szCs w:val="24"/>
        </w:rPr>
      </w:pPr>
    </w:p>
    <w:p w:rsidR="001E1CD5" w:rsidRDefault="001E1CD5" w:rsidP="001E1CD5">
      <w:pPr>
        <w:rPr>
          <w:bCs/>
          <w:sz w:val="24"/>
          <w:szCs w:val="24"/>
        </w:rPr>
      </w:pPr>
      <w:r>
        <w:rPr>
          <w:bCs/>
          <w:sz w:val="24"/>
          <w:szCs w:val="24"/>
        </w:rPr>
        <w:t>Глава муниципального образования</w:t>
      </w:r>
    </w:p>
    <w:p w:rsidR="001E1CD5" w:rsidRDefault="001E1CD5" w:rsidP="001E1CD5">
      <w:pPr>
        <w:rPr>
          <w:bCs/>
          <w:sz w:val="24"/>
          <w:szCs w:val="24"/>
        </w:rPr>
      </w:pPr>
      <w:r>
        <w:rPr>
          <w:bCs/>
          <w:sz w:val="24"/>
          <w:szCs w:val="24"/>
        </w:rPr>
        <w:t>Понятовского сельского поселения</w:t>
      </w:r>
    </w:p>
    <w:p w:rsidR="00346CB9" w:rsidRDefault="001E1CD5">
      <w:r>
        <w:rPr>
          <w:bCs/>
          <w:sz w:val="24"/>
          <w:szCs w:val="24"/>
        </w:rPr>
        <w:t>Шумячского района Смоленской области                                          Н.Б. Бондарева</w:t>
      </w:r>
    </w:p>
    <w:sectPr w:rsidR="00346CB9" w:rsidSect="005D0B77">
      <w:pgSz w:w="11906" w:h="16838"/>
      <w:pgMar w:top="1134"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00"/>
  <w:displayHorizontalDrawingGridEvery w:val="2"/>
  <w:displayVerticalDrawingGridEvery w:val="2"/>
  <w:characterSpacingControl w:val="doNotCompress"/>
  <w:compat/>
  <w:rsids>
    <w:rsidRoot w:val="001E1CD5"/>
    <w:rsid w:val="00070EA5"/>
    <w:rsid w:val="001E1CD5"/>
    <w:rsid w:val="00346CB9"/>
    <w:rsid w:val="003C2BFD"/>
    <w:rsid w:val="005B58A8"/>
    <w:rsid w:val="005D0B77"/>
    <w:rsid w:val="00674FA8"/>
    <w:rsid w:val="00861A6E"/>
    <w:rsid w:val="00DA2FFF"/>
    <w:rsid w:val="00E135EF"/>
    <w:rsid w:val="00E71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D5"/>
    <w:pPr>
      <w:autoSpaceDE w:val="0"/>
      <w:autoSpaceDN w:val="0"/>
      <w:jc w:val="left"/>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1E1CD5"/>
    <w:pPr>
      <w:keepNext/>
      <w:ind w:right="-1"/>
      <w:jc w:val="right"/>
      <w:outlineLvl w:val="2"/>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1CD5"/>
    <w:rPr>
      <w:rFonts w:ascii="Times New Roman" w:eastAsia="Times New Roman" w:hAnsi="Times New Roman" w:cs="Times New Roman"/>
      <w:color w:val="FF0000"/>
      <w:sz w:val="28"/>
      <w:szCs w:val="28"/>
      <w:lang w:eastAsia="ru-RU"/>
    </w:rPr>
  </w:style>
  <w:style w:type="paragraph" w:styleId="a3">
    <w:name w:val="Balloon Text"/>
    <w:basedOn w:val="a"/>
    <w:link w:val="a4"/>
    <w:uiPriority w:val="99"/>
    <w:semiHidden/>
    <w:unhideWhenUsed/>
    <w:rsid w:val="001E1CD5"/>
    <w:rPr>
      <w:rFonts w:ascii="Tahoma" w:hAnsi="Tahoma" w:cs="Tahoma"/>
      <w:sz w:val="16"/>
      <w:szCs w:val="16"/>
    </w:rPr>
  </w:style>
  <w:style w:type="character" w:customStyle="1" w:styleId="a4">
    <w:name w:val="Текст выноски Знак"/>
    <w:basedOn w:val="a0"/>
    <w:link w:val="a3"/>
    <w:uiPriority w:val="99"/>
    <w:semiHidden/>
    <w:rsid w:val="001E1CD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2908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278</Words>
  <Characters>1588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2016-09-28T08:17:00Z</cp:lastPrinted>
  <dcterms:created xsi:type="dcterms:W3CDTF">2016-09-27T13:49:00Z</dcterms:created>
  <dcterms:modified xsi:type="dcterms:W3CDTF">2016-09-29T12:09:00Z</dcterms:modified>
</cp:coreProperties>
</file>