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A0" w:rsidRPr="007865B6" w:rsidRDefault="002877A0" w:rsidP="00004D3D">
      <w:pPr>
        <w:rPr>
          <w:rFonts w:ascii="Times New Roman" w:hAnsi="Times New Roman"/>
          <w:b/>
          <w:bCs/>
          <w:sz w:val="28"/>
          <w:szCs w:val="28"/>
        </w:rPr>
      </w:pPr>
      <w:r w:rsidRPr="007865B6">
        <w:rPr>
          <w:rFonts w:ascii="Times New Roman" w:hAnsi="Times New Roman"/>
          <w:b/>
          <w:bCs/>
          <w:sz w:val="28"/>
          <w:szCs w:val="28"/>
        </w:rPr>
        <w:t>Прокуратура информирует.</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b/>
          <w:bCs/>
          <w:sz w:val="28"/>
          <w:szCs w:val="28"/>
        </w:rPr>
        <w:t>С 1 января 2017 года </w:t>
      </w:r>
      <w:r w:rsidRPr="007865B6">
        <w:rPr>
          <w:rFonts w:ascii="Times New Roman" w:hAnsi="Times New Roman"/>
          <w:sz w:val="28"/>
          <w:szCs w:val="28"/>
        </w:rPr>
        <w:t>Федеральным </w:t>
      </w:r>
      <w:hyperlink r:id="rId4" w:history="1">
        <w:r w:rsidRPr="007865B6">
          <w:rPr>
            <w:rStyle w:val="Hyperlink"/>
            <w:rFonts w:ascii="Times New Roman" w:hAnsi="Times New Roman"/>
            <w:color w:val="auto"/>
            <w:sz w:val="28"/>
            <w:szCs w:val="28"/>
            <w:u w:val="none"/>
          </w:rPr>
          <w:t>законом</w:t>
        </w:r>
      </w:hyperlink>
      <w:r w:rsidRPr="007865B6">
        <w:rPr>
          <w:rFonts w:ascii="Times New Roman" w:hAnsi="Times New Roman"/>
          <w:sz w:val="28"/>
          <w:szCs w:val="28"/>
        </w:rPr>
        <w:t> </w:t>
      </w:r>
      <w:r>
        <w:rPr>
          <w:rFonts w:ascii="Times New Roman" w:hAnsi="Times New Roman"/>
          <w:sz w:val="28"/>
          <w:szCs w:val="28"/>
        </w:rPr>
        <w:t>от 03.07.2016 № 304-ФЗ  внесены</w:t>
      </w:r>
      <w:r w:rsidRPr="007865B6">
        <w:rPr>
          <w:rFonts w:ascii="Times New Roman" w:hAnsi="Times New Roman"/>
          <w:sz w:val="28"/>
          <w:szCs w:val="28"/>
        </w:rPr>
        <w:t xml:space="preserve"> изменения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Создается Единый реестр застройщиков, который представляет собой государственный информационный ресурс с систематизированным перечнем застройщиков.</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Теперь привлекать денежные средства для долевого строительства смогут только те застройщики, которые отвечают требованиям в части уставного (складочного) капитала, размер которого увеличен до 2,5 млн. рублей от площади застройки не более 1500 кв.м. и до 1,5 млрд. рублей в случае если площадь застройки более 1,5 тыс. кв.м.</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Также юридическое лицо (застройщик) не должно состоять в реестрах недобросовестных поставщиков, недобросовестных участников аукциона по продаже земельных участков, организаций, по которым принимались решения арбитражного суда о введении процедур, применяемых в деле о банкротстве.</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У юридического лица (застройщика) не должно быть недоимки по налогам, сборам, задолженности по иным обязательным платежам в бюджеты бюджетной системы Российской Федерации.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Кроме того, у лица, осуществляющего функции единоличного исполнительного органа застройщика, и главного бухгалтера застройщика должны отсутствовать судимости за преступления в сфере экономики.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Закон дополняется требованиями о раскрытии информации застройщиком. На сайте застройщика должна размещаться информация о разрешениях на строительство, проектные декларации, проекты договоров участия в долевом строительстве,  аудиторские документы, документы о правах на земельный участок, разрешениях на ввод в эксплуатацию объектов капитального строительства и др.</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Ужесточаются требования к гарантии качества, предусмотренные договором долевого строительства и использованию застройщиком денежных средств, уплачиваемых участниками долевого строительства по договору.</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Новым Законом закреплены права участника долевого строительства на предъявление иска в суд или предъявления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в течение гарантийного срока.</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банкротства,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 (или) иных объектов недвижимости. Размер обязательных отчислений (взносов) застройщика планируется установить в пределах 1% от планируемой стоимости объекта строительства, указанной в проектной декларации застройщика.</w:t>
      </w:r>
    </w:p>
    <w:p w:rsidR="002877A0" w:rsidRPr="007865B6" w:rsidRDefault="002877A0" w:rsidP="00B865D0">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B865D0">
      <w:pPr>
        <w:spacing w:after="0" w:line="240" w:lineRule="auto"/>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«Согласно требованиям частей 1 и 2 статьи 50.4 Лесного кодекса Р</w:t>
      </w:r>
      <w:r>
        <w:rPr>
          <w:rFonts w:ascii="Times New Roman" w:hAnsi="Times New Roman"/>
          <w:sz w:val="28"/>
          <w:szCs w:val="28"/>
        </w:rPr>
        <w:t xml:space="preserve">оссийской </w:t>
      </w:r>
      <w:r w:rsidRPr="007865B6">
        <w:rPr>
          <w:rFonts w:ascii="Times New Roman" w:hAnsi="Times New Roman"/>
          <w:sz w:val="28"/>
          <w:szCs w:val="28"/>
        </w:rPr>
        <w:t>Ф</w:t>
      </w:r>
      <w:r>
        <w:rPr>
          <w:rFonts w:ascii="Times New Roman" w:hAnsi="Times New Roman"/>
          <w:sz w:val="28"/>
          <w:szCs w:val="28"/>
        </w:rPr>
        <w:t>едерации</w:t>
      </w:r>
      <w:r w:rsidRPr="007865B6">
        <w:rPr>
          <w:rFonts w:ascii="Times New Roman" w:hAnsi="Times New Roman"/>
          <w:sz w:val="28"/>
          <w:szCs w:val="28"/>
        </w:rPr>
        <w:t xml:space="preserve"> в редакции Федерального закона N 455-Ф от 30.12.2015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а также номере государственного регистрационного знака транспортного средства, на котором осуществляется транспортировка древесины.</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Сопроводительный документ оформляется юридическими лицами, индивидуальными предпринимателями, являющимися собственниками древесины.</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Ответственность за транспортировку древесины без оформленного в установленном лесным законодательством порядке сопроводительного документа предусмотрена частью 5 статьи 8.28.1 Кодекса РФ об административных правонарушениях, действующей в редакции Федерального закона № 415-ФЗ от 28.12.2013, санкция которой 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Частью 2 статьи 3 Федерального закона «О противодействии терроризму» установлено, что</w:t>
      </w:r>
      <w:r>
        <w:rPr>
          <w:rFonts w:ascii="Times New Roman" w:hAnsi="Times New Roman"/>
          <w:sz w:val="28"/>
          <w:szCs w:val="28"/>
        </w:rPr>
        <w:t xml:space="preserve"> </w:t>
      </w:r>
      <w:r w:rsidRPr="007865B6">
        <w:rPr>
          <w:rFonts w:ascii="Times New Roman" w:hAnsi="Times New Roman"/>
          <w:sz w:val="28"/>
          <w:szCs w:val="28"/>
        </w:rPr>
        <w:t>террористическая деятельность - деятельность, включающая в себя:</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а) организацию, планирование, подготовку, финансирование и реализацию террористического акта;</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б) подстрекательство к террористическому акту;</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г) вербовку, вооружение, обучение и использование террористов;</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д) информационное или иное пособничество в планировании, подготовке или реализации террористического акта;</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Ответственность за  содействие террористической деятельности устанавливается статьей 205.1 Уголовного кодекса Российской Федерации, максимальная санкция которой, в зависимости от квалификации содеянного, предусматривает наказание в виде  лишения свободы на срок от пятнадцати до двадцати лет с ограничением свободы на срок от одного года до двух лет или пожизненного лишения свободы.</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Федеральным законом от 03.07.2016 № 328-ФЗ в Уголовный кодекс Российской Федерации внесены изменения, касающиеся</w:t>
      </w:r>
      <w:r>
        <w:rPr>
          <w:rFonts w:ascii="Times New Roman" w:hAnsi="Times New Roman"/>
          <w:sz w:val="28"/>
          <w:szCs w:val="28"/>
        </w:rPr>
        <w:t xml:space="preserve"> понятия «состояние опьянения».</w:t>
      </w:r>
    </w:p>
    <w:p w:rsidR="002877A0" w:rsidRPr="0019635F" w:rsidRDefault="002877A0" w:rsidP="00B865D0">
      <w:pPr>
        <w:jc w:val="both"/>
        <w:rPr>
          <w:rFonts w:ascii="Times New Roman" w:hAnsi="Times New Roman"/>
          <w:color w:val="000000"/>
          <w:sz w:val="28"/>
          <w:szCs w:val="28"/>
        </w:rPr>
      </w:pPr>
      <w:r w:rsidRPr="007865B6">
        <w:rPr>
          <w:rFonts w:ascii="Times New Roman" w:hAnsi="Times New Roman"/>
          <w:sz w:val="28"/>
          <w:szCs w:val="28"/>
        </w:rPr>
        <w:t>Указанным Федеральным з</w:t>
      </w:r>
      <w:r>
        <w:rPr>
          <w:rFonts w:ascii="Times New Roman" w:hAnsi="Times New Roman"/>
          <w:sz w:val="28"/>
          <w:szCs w:val="28"/>
        </w:rPr>
        <w:t>аконом внесены поправки в статью</w:t>
      </w:r>
      <w:r w:rsidRPr="007865B6">
        <w:rPr>
          <w:rFonts w:ascii="Times New Roman" w:hAnsi="Times New Roman"/>
          <w:sz w:val="28"/>
          <w:szCs w:val="28"/>
        </w:rPr>
        <w:t xml:space="preserve"> 23 Уголовного кодекса Российской Федерации «Уголовная ответственность лиц, совершивших преступление в состоянии опьянения»,</w:t>
      </w:r>
      <w:r>
        <w:rPr>
          <w:rFonts w:ascii="Times New Roman" w:hAnsi="Times New Roman"/>
          <w:sz w:val="28"/>
          <w:szCs w:val="28"/>
        </w:rPr>
        <w:t xml:space="preserve"> статью</w:t>
      </w:r>
      <w:r w:rsidRPr="007865B6">
        <w:rPr>
          <w:rFonts w:ascii="Times New Roman" w:hAnsi="Times New Roman"/>
          <w:sz w:val="28"/>
          <w:szCs w:val="28"/>
        </w:rPr>
        <w:t xml:space="preserve"> 63 Уголовного кодекса Российской Федерации «Обстоятельства, отягчающие наказание» и </w:t>
      </w:r>
      <w:r>
        <w:rPr>
          <w:rFonts w:ascii="Times New Roman" w:hAnsi="Times New Roman"/>
          <w:sz w:val="28"/>
          <w:szCs w:val="28"/>
        </w:rPr>
        <w:t xml:space="preserve">статью </w:t>
      </w:r>
      <w:r w:rsidRPr="007865B6">
        <w:rPr>
          <w:rFonts w:ascii="Times New Roman" w:hAnsi="Times New Roman"/>
          <w:sz w:val="28"/>
          <w:szCs w:val="28"/>
        </w:rPr>
        <w:t xml:space="preserve">264 Уголовного кодекса Российской Федерации «Нарушение правил дорожного движения и эксплуатации транспортных средств», которыми дополнено наименование веществ, </w:t>
      </w:r>
      <w:r>
        <w:rPr>
          <w:rFonts w:ascii="Times New Roman" w:hAnsi="Times New Roman"/>
          <w:sz w:val="28"/>
          <w:szCs w:val="28"/>
        </w:rPr>
        <w:t>вызывающих состояние опьянения.</w:t>
      </w:r>
      <w:r w:rsidRPr="007865B6">
        <w:rPr>
          <w:rFonts w:ascii="Times New Roman" w:hAnsi="Times New Roman"/>
          <w:sz w:val="28"/>
          <w:szCs w:val="28"/>
        </w:rPr>
        <w:br/>
        <w:t>К таким веществам, наряду с алкоголем, наркотическими средствами или другими одурманивающими веществами, отнесены психотропные вещества, их аналоги и новые потенциально опасные психоактивные вещества.</w:t>
      </w:r>
      <w:r w:rsidRPr="007865B6">
        <w:rPr>
          <w:rFonts w:ascii="Times New Roman" w:hAnsi="Times New Roman"/>
          <w:sz w:val="28"/>
          <w:szCs w:val="28"/>
        </w:rPr>
        <w:br/>
      </w:r>
      <w:r w:rsidRPr="007865B6">
        <w:rPr>
          <w:rFonts w:ascii="Times New Roman" w:hAnsi="Times New Roman"/>
          <w:sz w:val="28"/>
          <w:szCs w:val="28"/>
        </w:rPr>
        <w:br/>
      </w:r>
      <w:r w:rsidRPr="0019635F">
        <w:rPr>
          <w:rFonts w:ascii="Times New Roman" w:hAnsi="Times New Roman"/>
          <w:color w:val="000000"/>
          <w:sz w:val="28"/>
          <w:szCs w:val="28"/>
        </w:rPr>
        <w:t>Заместитель прокурора Шумячского района</w:t>
      </w:r>
    </w:p>
    <w:p w:rsidR="002877A0" w:rsidRPr="0019635F" w:rsidRDefault="002877A0" w:rsidP="00B865D0">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Федеральным законом от 03.07.2016 № 324-ФЗ внесены изменения в уголовное законодательство, регулирую</w:t>
      </w:r>
      <w:r>
        <w:rPr>
          <w:rFonts w:ascii="Times New Roman" w:hAnsi="Times New Roman"/>
          <w:sz w:val="28"/>
          <w:szCs w:val="28"/>
        </w:rPr>
        <w:t>щее ответственность за взятку.</w:t>
      </w:r>
    </w:p>
    <w:p w:rsidR="002877A0"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Так, в Уголовный кодекс Российской Федерации введена статья 291.2, которая предусматривает уголовную ответственность за мелкое взяточничество, то есть получение взятки, дачу взятки лично или через посредника в размере,</w:t>
      </w:r>
      <w:r>
        <w:rPr>
          <w:rFonts w:ascii="Times New Roman" w:hAnsi="Times New Roman"/>
          <w:sz w:val="28"/>
          <w:szCs w:val="28"/>
        </w:rPr>
        <w:t xml:space="preserve"> не превышающем 10 000 рублей.</w:t>
      </w:r>
    </w:p>
    <w:p w:rsidR="002877A0"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Санкция данной статьи предусматривает наказание в виде штрафа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w:t>
      </w:r>
      <w:r>
        <w:rPr>
          <w:rFonts w:ascii="Times New Roman" w:hAnsi="Times New Roman"/>
          <w:sz w:val="28"/>
          <w:szCs w:val="28"/>
        </w:rPr>
        <w:t>вободы на срок до одного года.</w:t>
      </w:r>
    </w:p>
    <w:p w:rsidR="002877A0"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Одновременно законодателем ужесточена ответственность за совершение преступлений, предусмотренных статьей 290 Уголовного кодекса Российской Федерации (получение взятки), статьей 291 Уголовного кодекса Российской Федерации (дача взятки). В данном случае сумма взятки должна превышать десять тысяч рублей и наказание в виде лишения свободы может быть назначено судом от 2 до 15 лет лишения</w:t>
      </w:r>
      <w:r>
        <w:rPr>
          <w:rFonts w:ascii="Times New Roman" w:hAnsi="Times New Roman"/>
          <w:sz w:val="28"/>
          <w:szCs w:val="28"/>
        </w:rPr>
        <w:t xml:space="preserve"> свободы.</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Также законодателем сохранено примечание к ст. 291.2 Уголовного кодекса Российской Федерации, которое предусматривает условие освобождения от уголовной ответственности лица, активно способствовавшего раскрытию и расследованию преступления, либо если данное лицо подверглось вымогательству взятки, а также в случае добровольного сообщения о преступлении.</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Постановлением Правительства Российской Федерации от 03.08.2016 № 755 внесены изменения в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w:t>
      </w:r>
      <w:r>
        <w:rPr>
          <w:rFonts w:ascii="Times New Roman" w:hAnsi="Times New Roman"/>
          <w:sz w:val="28"/>
          <w:szCs w:val="28"/>
        </w:rPr>
        <w:t xml:space="preserve">анами местного самоуправления». </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С 1 февраля 2017 года на многофункциональные центры возлагается обязанность по предоставлению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а также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 Федеральный закон "О противодействии терроризму" и отдельные законодательные акты Российской Федерации внесены изменения в части установления дополнительных мер противодействия терроризму и обеспечения общественной безопасности</w:t>
      </w:r>
    </w:p>
    <w:p w:rsidR="002877A0" w:rsidRPr="007865B6" w:rsidRDefault="002877A0" w:rsidP="00B865D0">
      <w:pPr>
        <w:spacing w:after="0" w:line="240" w:lineRule="auto"/>
        <w:ind w:firstLine="540"/>
        <w:jc w:val="both"/>
        <w:rPr>
          <w:rFonts w:ascii="Times New Roman" w:hAnsi="Times New Roman"/>
          <w:sz w:val="28"/>
          <w:szCs w:val="28"/>
        </w:rPr>
      </w:pPr>
      <w:r w:rsidRPr="007865B6">
        <w:rPr>
          <w:rFonts w:ascii="Times New Roman" w:hAnsi="Times New Roman"/>
          <w:sz w:val="28"/>
          <w:szCs w:val="28"/>
        </w:rPr>
        <w:t>Федеральным законом, в частности, установлены полномочия органов местного самоуправления в области противодействия терроризму; уточнен правовой режим контртеррористической о</w:t>
      </w:r>
      <w:r>
        <w:rPr>
          <w:rFonts w:ascii="Times New Roman" w:hAnsi="Times New Roman"/>
          <w:sz w:val="28"/>
          <w:szCs w:val="28"/>
        </w:rPr>
        <w:t xml:space="preserve">перации и условия ее проведения, </w:t>
      </w:r>
      <w:r w:rsidRPr="007865B6">
        <w:rPr>
          <w:rFonts w:ascii="Times New Roman" w:hAnsi="Times New Roman"/>
          <w:sz w:val="28"/>
          <w:szCs w:val="28"/>
        </w:rPr>
        <w:t>определено, что при осуществлении оперативно-разыскной деятельности может проводиться такое оперативно-разыскное мероприятие, как получение компьютерной информации.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 Федеральном законе "О свободе совести и о религиозных объединениях" закреплено понятие "миссионерская деятельность", раскрыто ее содержание, установлен порядок осуществления.</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Предусмотрена обязанность принятия операторами почтовой связи мер по недопущению к пересылке в почтовых отправлениях предметов и веществ, запрещенных к пересылке по сети почтовой связи.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Установлена административная ответственность, в том числе за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за невыполнение обязанностей, предусмотренных законодательством о транспортно-экспедиционной деятельности, несоблюдение оператором связи установленного порядка идентификации абонентов, неисполнение организатором распространения информации в сети Интернет обязанности предоставлять в ФСБ России информацию, необходимую для декодирования электронных сообщений.</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Установлен запрет осуществления миссионерской деятельности в жилых помещениях, за исключением случаев, предусмотренных статьей 16 Федерального закона "О свободе совести и о религиозных объединениях".</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20 июля 2016 года вступили в законную силу изменения уголовного законодательства, в соответствии с которыми в Уголовный Кодекс Российской Федерации введен новый состав преступления, предусматривающий уголовную ответственность за несообщение о преступлении экстремистского характера или террористической направленности.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Согласно диспозиции статьи 205.6 УК РФ, уголовную ответственность теперь влечет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К преступлениям, за несообщение о которых наступает уголовная ответственность, относятся:</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террористический акт (ст. 205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содействие террористической деятельности (205.1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публичные призывы к осуществлению террористической деятельности или публичное оправдание терроризма (205.2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прохождение обучения в целях осуществления террористической деятельности (ст. 205.3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организация террористического сообщества и участие в нем (205.4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организация деятельности террористической организации и участие в деятельности такой организации (ст. 205.5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захват заложника (ст. 206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организация незаконного вооруженного формирования или участие в нем (ст. 208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угон судна воздушного или водного транспорта либо железнодорожного подвижного состава (ст. 211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незаконное обращение с ядерными материалами или радиоактивными веществами (ст. 220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хищение либо вымогательство ядерных материалов или радиоактивных веществ (ст. 221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посягательство на жизнь государственного или общественного деятеля (ст. 277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насильственный захват власти или насильственное удержание власти (ст. 278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вооруженный мятеж (ст. 279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нападение на лиц или учреждения, которые пользуются международной защитой (ст. 360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акт международного терроризма (ст. 361 УК РФ).</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Несообщение об указанных преступлениях влечет одно из следующих наказаний:</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штраф в размере до ста тысяч рублей или в размере заработной платы или иного дохода осужденного за период до шести месяцев;</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принудительные работы на срок до одного года;</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 лишение свободы на тот же срок.</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 числе мер предупреждения коррупции, предусмотренных действующим законодательством, отдельное место занимает антикоррупционная экспертиза нормативных правовых актов и их проектов.</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Антикоррупционная экспертиза представляет собой изучение положений как действующих нормативных правовых актов, так и проектов планируемых к принятию нормативных документов в целях выявления в них коррупциогенных факторов и их последующего устранения.</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Коррупциогенными факторами являются нормы,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Проведение антикоррупционной экспертизы осуществляется в соответствии с утвержденной Правительством Российской Федерации методикой, где приведен перечень коррупциогенных факторов.</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Антикоррупционная экспертиза подразделяется на несколько разновидностей в зависимости от субъектов, ее проводящих.</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 первую очередь антикоррупционная экспертиза проводится самим органом, издавшим нормативный правовой акт (т.н. ведомственная антикорруцпионная экспертиза).</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Проведение антикоррупционной экспертизы также возложено на органы прокуратуры и министерство юстиции Российской Федерации.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Кроме того законодательством предусмотрено проведение независимой антикоррупционной экспертизы гражданами и юридическими лицами, аккредитованными в качестве независимых экспертов в министерстве юстиции Российской Федерации.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Выявленные по результатам антикоррупционной экспертизы коррупциогенные факторы подлежат исключению посредством внесения необходимых изменений в положения нормативного правового акта или его проекта.</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Федеральным законом № 375-ФЗ от 06.07.2016 «О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 существенно изменено содержание ст. 205.2 Уголовного кодекса Российской Федерации, предусматривающей уголовную ответственность за публичные призывы к осуществлению террористической деятельности или публичное оправдание терроризма.</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Согласно нововведениям, при квалификации противоправных действий по ст. 205.2 Уголовного кодекса Российской Федерации под террористической деятельностью следует понимать совершение хотя бы одного из преступлений, предусмотренных </w:t>
      </w:r>
      <w:hyperlink r:id="rId5" w:history="1">
        <w:r w:rsidRPr="007865B6">
          <w:rPr>
            <w:rStyle w:val="Hyperlink"/>
            <w:rFonts w:ascii="Times New Roman" w:hAnsi="Times New Roman"/>
            <w:sz w:val="28"/>
            <w:szCs w:val="28"/>
          </w:rPr>
          <w:t>статьями 205</w:t>
        </w:r>
      </w:hyperlink>
      <w:r>
        <w:rPr>
          <w:rFonts w:ascii="Times New Roman" w:hAnsi="Times New Roman"/>
          <w:sz w:val="28"/>
          <w:szCs w:val="28"/>
        </w:rPr>
        <w:t>,</w:t>
      </w:r>
      <w:r w:rsidRPr="007865B6">
        <w:rPr>
          <w:rFonts w:ascii="Times New Roman" w:hAnsi="Times New Roman"/>
          <w:sz w:val="28"/>
          <w:szCs w:val="28"/>
        </w:rPr>
        <w:t> </w:t>
      </w:r>
      <w:hyperlink r:id="rId6" w:history="1">
        <w:r w:rsidRPr="007865B6">
          <w:rPr>
            <w:rStyle w:val="Hyperlink"/>
            <w:rFonts w:ascii="Times New Roman" w:hAnsi="Times New Roman"/>
            <w:sz w:val="28"/>
            <w:szCs w:val="28"/>
          </w:rPr>
          <w:t>206</w:t>
        </w:r>
      </w:hyperlink>
      <w:r w:rsidRPr="007865B6">
        <w:rPr>
          <w:rFonts w:ascii="Times New Roman" w:hAnsi="Times New Roman"/>
          <w:sz w:val="28"/>
          <w:szCs w:val="28"/>
        </w:rPr>
        <w:t>, </w:t>
      </w:r>
      <w:hyperlink r:id="rId7" w:history="1">
        <w:r w:rsidRPr="007865B6">
          <w:rPr>
            <w:rStyle w:val="Hyperlink"/>
            <w:rFonts w:ascii="Times New Roman" w:hAnsi="Times New Roman"/>
            <w:sz w:val="28"/>
            <w:szCs w:val="28"/>
          </w:rPr>
          <w:t>208</w:t>
        </w:r>
      </w:hyperlink>
      <w:r w:rsidRPr="007865B6">
        <w:rPr>
          <w:rFonts w:ascii="Times New Roman" w:hAnsi="Times New Roman"/>
          <w:sz w:val="28"/>
          <w:szCs w:val="28"/>
        </w:rPr>
        <w:t>, </w:t>
      </w:r>
      <w:hyperlink r:id="rId8" w:history="1">
        <w:r w:rsidRPr="007865B6">
          <w:rPr>
            <w:rStyle w:val="Hyperlink"/>
            <w:rFonts w:ascii="Times New Roman" w:hAnsi="Times New Roman"/>
            <w:sz w:val="28"/>
            <w:szCs w:val="28"/>
          </w:rPr>
          <w:t>211</w:t>
        </w:r>
      </w:hyperlink>
      <w:r w:rsidRPr="007865B6">
        <w:rPr>
          <w:rFonts w:ascii="Times New Roman" w:hAnsi="Times New Roman"/>
          <w:sz w:val="28"/>
          <w:szCs w:val="28"/>
        </w:rPr>
        <w:t>, </w:t>
      </w:r>
      <w:hyperlink r:id="rId9" w:history="1">
        <w:r w:rsidRPr="007865B6">
          <w:rPr>
            <w:rStyle w:val="Hyperlink"/>
            <w:rFonts w:ascii="Times New Roman" w:hAnsi="Times New Roman"/>
            <w:sz w:val="28"/>
            <w:szCs w:val="28"/>
          </w:rPr>
          <w:t>220</w:t>
        </w:r>
      </w:hyperlink>
      <w:r w:rsidRPr="007865B6">
        <w:rPr>
          <w:rFonts w:ascii="Times New Roman" w:hAnsi="Times New Roman"/>
          <w:sz w:val="28"/>
          <w:szCs w:val="28"/>
        </w:rPr>
        <w:t>, </w:t>
      </w:r>
      <w:hyperlink r:id="rId10" w:history="1">
        <w:r w:rsidRPr="007865B6">
          <w:rPr>
            <w:rStyle w:val="Hyperlink"/>
            <w:rFonts w:ascii="Times New Roman" w:hAnsi="Times New Roman"/>
            <w:sz w:val="28"/>
            <w:szCs w:val="28"/>
          </w:rPr>
          <w:t>221</w:t>
        </w:r>
      </w:hyperlink>
      <w:r w:rsidRPr="007865B6">
        <w:rPr>
          <w:rFonts w:ascii="Times New Roman" w:hAnsi="Times New Roman"/>
          <w:sz w:val="28"/>
          <w:szCs w:val="28"/>
        </w:rPr>
        <w:t>, </w:t>
      </w:r>
      <w:hyperlink r:id="rId11" w:history="1">
        <w:r w:rsidRPr="007865B6">
          <w:rPr>
            <w:rStyle w:val="Hyperlink"/>
            <w:rFonts w:ascii="Times New Roman" w:hAnsi="Times New Roman"/>
            <w:sz w:val="28"/>
            <w:szCs w:val="28"/>
          </w:rPr>
          <w:t>277</w:t>
        </w:r>
      </w:hyperlink>
      <w:r w:rsidRPr="007865B6">
        <w:rPr>
          <w:rFonts w:ascii="Times New Roman" w:hAnsi="Times New Roman"/>
          <w:sz w:val="28"/>
          <w:szCs w:val="28"/>
        </w:rPr>
        <w:t>, </w:t>
      </w:r>
      <w:hyperlink r:id="rId12" w:history="1">
        <w:r w:rsidRPr="007865B6">
          <w:rPr>
            <w:rStyle w:val="Hyperlink"/>
            <w:rFonts w:ascii="Times New Roman" w:hAnsi="Times New Roman"/>
            <w:sz w:val="28"/>
            <w:szCs w:val="28"/>
          </w:rPr>
          <w:t>278</w:t>
        </w:r>
      </w:hyperlink>
      <w:r w:rsidRPr="007865B6">
        <w:rPr>
          <w:rFonts w:ascii="Times New Roman" w:hAnsi="Times New Roman"/>
          <w:sz w:val="28"/>
          <w:szCs w:val="28"/>
        </w:rPr>
        <w:t>, </w:t>
      </w:r>
      <w:hyperlink r:id="rId13" w:history="1">
        <w:r w:rsidRPr="007865B6">
          <w:rPr>
            <w:rStyle w:val="Hyperlink"/>
            <w:rFonts w:ascii="Times New Roman" w:hAnsi="Times New Roman"/>
            <w:sz w:val="28"/>
            <w:szCs w:val="28"/>
          </w:rPr>
          <w:t>279</w:t>
        </w:r>
      </w:hyperlink>
      <w:r w:rsidRPr="007865B6">
        <w:rPr>
          <w:rFonts w:ascii="Times New Roman" w:hAnsi="Times New Roman"/>
          <w:sz w:val="28"/>
          <w:szCs w:val="28"/>
        </w:rPr>
        <w:t>, </w:t>
      </w:r>
      <w:hyperlink r:id="rId14" w:history="1">
        <w:r w:rsidRPr="007865B6">
          <w:rPr>
            <w:rStyle w:val="Hyperlink"/>
            <w:rFonts w:ascii="Times New Roman" w:hAnsi="Times New Roman"/>
            <w:sz w:val="28"/>
            <w:szCs w:val="28"/>
          </w:rPr>
          <w:t>360</w:t>
        </w:r>
      </w:hyperlink>
      <w:r w:rsidRPr="007865B6">
        <w:rPr>
          <w:rFonts w:ascii="Times New Roman" w:hAnsi="Times New Roman"/>
          <w:sz w:val="28"/>
          <w:szCs w:val="28"/>
        </w:rPr>
        <w:t>, </w:t>
      </w:r>
      <w:hyperlink r:id="rId15" w:history="1">
        <w:r w:rsidRPr="007865B6">
          <w:rPr>
            <w:rStyle w:val="Hyperlink"/>
            <w:rFonts w:ascii="Times New Roman" w:hAnsi="Times New Roman"/>
            <w:sz w:val="28"/>
            <w:szCs w:val="28"/>
          </w:rPr>
          <w:t>361</w:t>
        </w:r>
      </w:hyperlink>
      <w:r>
        <w:rPr>
          <w:rFonts w:ascii="Times New Roman" w:hAnsi="Times New Roman"/>
          <w:sz w:val="28"/>
          <w:szCs w:val="28"/>
        </w:rPr>
        <w:t xml:space="preserve"> Уголовного кодекса </w:t>
      </w:r>
      <w:r w:rsidRPr="007865B6">
        <w:rPr>
          <w:rFonts w:ascii="Times New Roman" w:hAnsi="Times New Roman"/>
          <w:sz w:val="28"/>
          <w:szCs w:val="28"/>
        </w:rPr>
        <w:t>Российской Федерации (террористический акт, содействие террористической деятельности, захват заложника, угон судна воздушного и водного транспорта, посягательство на жизнь государственного или общественного деятеля, вооруженный мятеж и др).</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Кроме того, расширено содержание ч. 2 ст. 205.2 Уголовного кодекса Российской Федерации, где указываются дополнительные признаки совершения преступления, а именно совершение преступления с использованием электронных или информационно-телекоммуникационных сетей, в том числе сети «Интернет», а также определен нижний предел наказания в виде лишения свободы – от пяти лет.</w:t>
      </w:r>
    </w:p>
    <w:p w:rsidR="002877A0" w:rsidRDefault="002877A0" w:rsidP="00B865D0">
      <w:pPr>
        <w:jc w:val="both"/>
        <w:rPr>
          <w:rFonts w:ascii="Times New Roman" w:hAnsi="Times New Roman"/>
          <w:color w:val="000000"/>
          <w:sz w:val="28"/>
          <w:szCs w:val="28"/>
        </w:rPr>
      </w:pPr>
    </w:p>
    <w:p w:rsidR="002877A0" w:rsidRPr="0019635F" w:rsidRDefault="002877A0" w:rsidP="00B865D0">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B865D0">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Федеральным законом от 22 ноября 2016 г. №392-ФЗ в Уголовный кодекс Российской Федерации введена новелла в виде установления уголовной ответственности за склонение спортсмена к использованию допинга.</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Так, согласно статьи 230.1 УК РФ к уголовной ответственности будут привлекать тренеров, специалистов по спортивной медицине и иных специалистов в области физкультуры и спорта, склоняющих спортсменов к использованию субстанций и (или) методов, запрещенных для применения в спорте. При этом под склонением к использованию допинга понимаются любые умышленные действия, способствующие использованию спортсменом запрещенной субстанции и (или) метода, в том числе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их использованию.</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Перечень запрещенных для применения в спорте субстанций и (или) методов должно определить Правительство РФ.</w:t>
      </w:r>
      <w:r w:rsidRPr="007865B6">
        <w:rPr>
          <w:rFonts w:ascii="Times New Roman" w:hAnsi="Times New Roman"/>
          <w:sz w:val="28"/>
          <w:szCs w:val="28"/>
        </w:rPr>
        <w:br/>
        <w:t>Также уголовная ответственность в соответствии со статьей 230.2 УК РФ грозит названным лицам за использование указанных субстанций и (или) методов в отношении спортсмена, независимо от его согласия.</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Расследование указанных преступлений, в зависимости от их тяжести, будет осуществляться, согласно УПК РФ, в форме дознания и предварительного следствия органами внутренних дел Российской Федерации.</w:t>
      </w:r>
      <w:r w:rsidRPr="007865B6">
        <w:rPr>
          <w:rFonts w:ascii="Times New Roman" w:hAnsi="Times New Roman"/>
          <w:sz w:val="28"/>
          <w:szCs w:val="28"/>
        </w:rPr>
        <w:br/>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Правительство РФ приняло постановление, которым установлено новое основание проведения внеплановых проверок организаций на предмет соблюдения трудового законодательства (постановление Правительства РФ от 18 ноября 2016 г. № 1213).</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Их будут проводить на основании сообщений о фактах нарушения работодателями обязательных требований,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r w:rsidRPr="007865B6">
        <w:rPr>
          <w:rFonts w:ascii="Times New Roman" w:hAnsi="Times New Roman"/>
          <w:sz w:val="28"/>
          <w:szCs w:val="28"/>
        </w:rPr>
        <w:br/>
        <w:t>Источники сообщений будут теми же, которые определены сегодня. Это обращения и заявления граждан, в том числе ИП, юридических лиц, информация от федеральной инспекции труда и других федеральных и местных надзорных органов, профессиональных союзов и СМИ.</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Перечисленные обращения, заявлени</w:t>
      </w:r>
      <w:r>
        <w:rPr>
          <w:rFonts w:ascii="Times New Roman" w:hAnsi="Times New Roman"/>
          <w:sz w:val="28"/>
          <w:szCs w:val="28"/>
        </w:rPr>
        <w:t xml:space="preserve">я и информация должны поступить в федеральную инспекцию труда. </w:t>
      </w:r>
      <w:r w:rsidRPr="007865B6">
        <w:rPr>
          <w:rFonts w:ascii="Times New Roman" w:hAnsi="Times New Roman"/>
          <w:sz w:val="28"/>
          <w:szCs w:val="28"/>
        </w:rPr>
        <w:t>Аналогичная норма уже содержится в Трудовом кодексе, а рассматриваемое постановление Правительства РФ таким образом было приведено с ней в соответствие.</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Федеральным законом от 23 июня 2016 г. № 214-ФЗ внесены изменения в Федеральный закон «Об обязательном страховании гражданской ответственности владельцев транспортных средств».</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 силу внесенных поправок с 1 января 2017 г. страховые компании обязаны продавать электронные полисы ОСАГО.</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Изменения затрагивают отдельные вопросы ОСАГО. Уточнен срок действия страховых тарифов по ОСАГО. Согласно изменениям он не может быть менее 1 года. Скорректирован порядок осуществления страховых выплат. Результаты самостоятельно организованной потерпевшим независимой технической экспертизы не учитываются при определении размера страховой выплаты, если потерпевший не представил поврежденный автомобиль для осмотра и экспертизы в согласованные со страховщиком даты. При этом страховщик наделен правом вернуть без рассмотрения представленное потерпевшим заявление о страховой выплате.</w:t>
      </w:r>
    </w:p>
    <w:p w:rsidR="002877A0" w:rsidRPr="007865B6" w:rsidRDefault="002877A0" w:rsidP="007865B6">
      <w:pPr>
        <w:spacing w:after="0" w:line="240" w:lineRule="auto"/>
        <w:ind w:firstLine="540"/>
        <w:jc w:val="both"/>
        <w:rPr>
          <w:rFonts w:ascii="Times New Roman" w:hAnsi="Times New Roman"/>
          <w:sz w:val="28"/>
          <w:szCs w:val="28"/>
        </w:rPr>
      </w:pPr>
      <w:r>
        <w:rPr>
          <w:rFonts w:ascii="Times New Roman" w:hAnsi="Times New Roman"/>
          <w:sz w:val="28"/>
          <w:szCs w:val="28"/>
        </w:rPr>
        <w:t>С</w:t>
      </w:r>
      <w:r w:rsidRPr="007865B6">
        <w:rPr>
          <w:rFonts w:ascii="Times New Roman" w:hAnsi="Times New Roman"/>
          <w:sz w:val="28"/>
          <w:szCs w:val="28"/>
        </w:rPr>
        <w:t xml:space="preserve"> 1 января 2017 г. страховщиков обязали обеспечить возможность заключения договоров ОСАГО в электронном виде. В настоящее время страховые компании лишь вправе продавать электронные полисы, но не обязаны.</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Вместо бумажного полиса ОСАГО водители смогут предъявлять сотруднику полиции распечатанную информацию о заключении договора ОСАГО в электронном виде.</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Урегулирована проблема представления гражданами недостоверных сведений при покупке электронного полиса (чтобы уменьшить стоимость страховки). В этом случае страховщик имеет право регресса к гражданину при наступлении страхового случая, а также может взыскать с него неосновательно сбереженную сумму (независимо от наступления страхового случая).</w:t>
      </w:r>
    </w:p>
    <w:p w:rsidR="002877A0" w:rsidRPr="007865B6" w:rsidRDefault="002877A0" w:rsidP="007865B6">
      <w:pPr>
        <w:spacing w:after="0" w:line="240" w:lineRule="auto"/>
        <w:ind w:firstLine="540"/>
        <w:jc w:val="both"/>
        <w:rPr>
          <w:rFonts w:ascii="Times New Roman" w:hAnsi="Times New Roman"/>
          <w:sz w:val="28"/>
          <w:szCs w:val="28"/>
        </w:rPr>
      </w:pPr>
      <w:r w:rsidRPr="007865B6">
        <w:rPr>
          <w:rFonts w:ascii="Times New Roman" w:hAnsi="Times New Roman"/>
          <w:sz w:val="28"/>
          <w:szCs w:val="28"/>
        </w:rPr>
        <w:t>Также увеличен с 5 до 10 календарных дней срок рассмотрения страховщиком претензии потерпевшего при наличии разногласий между ними.</w:t>
      </w:r>
    </w:p>
    <w:p w:rsidR="002877A0" w:rsidRPr="007865B6" w:rsidRDefault="002877A0" w:rsidP="007865B6">
      <w:pPr>
        <w:spacing w:after="0" w:line="240" w:lineRule="auto"/>
        <w:ind w:firstLine="540"/>
        <w:jc w:val="both"/>
        <w:rPr>
          <w:rFonts w:ascii="Times New Roman" w:hAnsi="Times New Roman"/>
          <w:sz w:val="28"/>
          <w:szCs w:val="28"/>
        </w:rPr>
      </w:pPr>
      <w:bookmarkStart w:id="0" w:name="_GoBack"/>
      <w:bookmarkEnd w:id="0"/>
    </w:p>
    <w:p w:rsidR="002877A0" w:rsidRPr="007865B6" w:rsidRDefault="002877A0" w:rsidP="007865B6">
      <w:pPr>
        <w:spacing w:after="0" w:line="240" w:lineRule="auto"/>
        <w:ind w:firstLine="540"/>
        <w:jc w:val="both"/>
        <w:rPr>
          <w:rFonts w:ascii="Times New Roman" w:hAnsi="Times New Roman"/>
          <w:sz w:val="28"/>
          <w:szCs w:val="28"/>
        </w:rPr>
      </w:pPr>
    </w:p>
    <w:p w:rsidR="002877A0" w:rsidRPr="007865B6" w:rsidRDefault="002877A0" w:rsidP="007865B6">
      <w:pPr>
        <w:spacing w:after="0" w:line="240" w:lineRule="auto"/>
        <w:ind w:firstLine="540"/>
        <w:jc w:val="both"/>
        <w:rPr>
          <w:rFonts w:ascii="Times New Roman" w:hAnsi="Times New Roman"/>
          <w:sz w:val="28"/>
          <w:szCs w:val="28"/>
        </w:rPr>
      </w:pP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Заместитель прокурора Шумячского района</w:t>
      </w:r>
    </w:p>
    <w:p w:rsidR="002877A0" w:rsidRPr="0019635F" w:rsidRDefault="002877A0" w:rsidP="0056301D">
      <w:pPr>
        <w:jc w:val="both"/>
        <w:rPr>
          <w:rFonts w:ascii="Times New Roman" w:hAnsi="Times New Roman"/>
          <w:color w:val="000000"/>
          <w:sz w:val="28"/>
          <w:szCs w:val="28"/>
        </w:rPr>
      </w:pPr>
      <w:r w:rsidRPr="0019635F">
        <w:rPr>
          <w:rFonts w:ascii="Times New Roman" w:hAnsi="Times New Roman"/>
          <w:color w:val="000000"/>
          <w:sz w:val="28"/>
          <w:szCs w:val="28"/>
        </w:rPr>
        <w:t xml:space="preserve">советник юстиции                                                                 </w:t>
      </w:r>
      <w:r>
        <w:rPr>
          <w:rFonts w:ascii="Times New Roman" w:hAnsi="Times New Roman"/>
          <w:color w:val="000000"/>
          <w:sz w:val="28"/>
          <w:szCs w:val="28"/>
        </w:rPr>
        <w:t xml:space="preserve">                 </w:t>
      </w:r>
      <w:r w:rsidRPr="0019635F">
        <w:rPr>
          <w:rFonts w:ascii="Times New Roman" w:hAnsi="Times New Roman"/>
          <w:color w:val="000000"/>
          <w:sz w:val="28"/>
          <w:szCs w:val="28"/>
        </w:rPr>
        <w:t xml:space="preserve">А.Г. Евсеев </w:t>
      </w:r>
    </w:p>
    <w:p w:rsidR="002877A0" w:rsidRPr="007865B6" w:rsidRDefault="002877A0" w:rsidP="007865B6">
      <w:pPr>
        <w:spacing w:after="0" w:line="240" w:lineRule="auto"/>
        <w:ind w:firstLine="540"/>
        <w:jc w:val="both"/>
        <w:rPr>
          <w:rFonts w:ascii="Times New Roman" w:hAnsi="Times New Roman"/>
          <w:sz w:val="28"/>
          <w:szCs w:val="28"/>
        </w:rPr>
      </w:pPr>
    </w:p>
    <w:sectPr w:rsidR="002877A0" w:rsidRPr="007865B6" w:rsidSect="00870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334"/>
    <w:rsid w:val="00004D3D"/>
    <w:rsid w:val="0019635F"/>
    <w:rsid w:val="002877A0"/>
    <w:rsid w:val="002E0ED6"/>
    <w:rsid w:val="00501E21"/>
    <w:rsid w:val="0056301D"/>
    <w:rsid w:val="006F3C70"/>
    <w:rsid w:val="007865B6"/>
    <w:rsid w:val="00870ADA"/>
    <w:rsid w:val="00B865D0"/>
    <w:rsid w:val="00B96334"/>
    <w:rsid w:val="00DB79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D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4D3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783039124">
      <w:marLeft w:val="0"/>
      <w:marRight w:val="0"/>
      <w:marTop w:val="0"/>
      <w:marBottom w:val="0"/>
      <w:divBdr>
        <w:top w:val="none" w:sz="0" w:space="0" w:color="auto"/>
        <w:left w:val="none" w:sz="0" w:space="0" w:color="auto"/>
        <w:bottom w:val="none" w:sz="0" w:space="0" w:color="auto"/>
        <w:right w:val="none" w:sz="0" w:space="0" w:color="auto"/>
      </w:divBdr>
    </w:div>
    <w:div w:id="783039125">
      <w:marLeft w:val="0"/>
      <w:marRight w:val="0"/>
      <w:marTop w:val="0"/>
      <w:marBottom w:val="0"/>
      <w:divBdr>
        <w:top w:val="none" w:sz="0" w:space="0" w:color="auto"/>
        <w:left w:val="none" w:sz="0" w:space="0" w:color="auto"/>
        <w:bottom w:val="none" w:sz="0" w:space="0" w:color="auto"/>
        <w:right w:val="none" w:sz="0" w:space="0" w:color="auto"/>
      </w:divBdr>
    </w:div>
    <w:div w:id="783039126">
      <w:marLeft w:val="0"/>
      <w:marRight w:val="0"/>
      <w:marTop w:val="0"/>
      <w:marBottom w:val="0"/>
      <w:divBdr>
        <w:top w:val="none" w:sz="0" w:space="0" w:color="auto"/>
        <w:left w:val="none" w:sz="0" w:space="0" w:color="auto"/>
        <w:bottom w:val="none" w:sz="0" w:space="0" w:color="auto"/>
        <w:right w:val="none" w:sz="0" w:space="0" w:color="auto"/>
      </w:divBdr>
      <w:divsChild>
        <w:div w:id="783039132">
          <w:marLeft w:val="0"/>
          <w:marRight w:val="0"/>
          <w:marTop w:val="0"/>
          <w:marBottom w:val="0"/>
          <w:divBdr>
            <w:top w:val="none" w:sz="0" w:space="0" w:color="auto"/>
            <w:left w:val="none" w:sz="0" w:space="0" w:color="auto"/>
            <w:bottom w:val="none" w:sz="0" w:space="0" w:color="auto"/>
            <w:right w:val="none" w:sz="0" w:space="0" w:color="auto"/>
          </w:divBdr>
        </w:div>
      </w:divsChild>
    </w:div>
    <w:div w:id="783039127">
      <w:marLeft w:val="0"/>
      <w:marRight w:val="0"/>
      <w:marTop w:val="0"/>
      <w:marBottom w:val="0"/>
      <w:divBdr>
        <w:top w:val="none" w:sz="0" w:space="0" w:color="auto"/>
        <w:left w:val="none" w:sz="0" w:space="0" w:color="auto"/>
        <w:bottom w:val="none" w:sz="0" w:space="0" w:color="auto"/>
        <w:right w:val="none" w:sz="0" w:space="0" w:color="auto"/>
      </w:divBdr>
    </w:div>
    <w:div w:id="783039128">
      <w:marLeft w:val="0"/>
      <w:marRight w:val="0"/>
      <w:marTop w:val="0"/>
      <w:marBottom w:val="0"/>
      <w:divBdr>
        <w:top w:val="none" w:sz="0" w:space="0" w:color="auto"/>
        <w:left w:val="none" w:sz="0" w:space="0" w:color="auto"/>
        <w:bottom w:val="none" w:sz="0" w:space="0" w:color="auto"/>
        <w:right w:val="none" w:sz="0" w:space="0" w:color="auto"/>
      </w:divBdr>
    </w:div>
    <w:div w:id="783039129">
      <w:marLeft w:val="0"/>
      <w:marRight w:val="0"/>
      <w:marTop w:val="0"/>
      <w:marBottom w:val="0"/>
      <w:divBdr>
        <w:top w:val="none" w:sz="0" w:space="0" w:color="auto"/>
        <w:left w:val="none" w:sz="0" w:space="0" w:color="auto"/>
        <w:bottom w:val="none" w:sz="0" w:space="0" w:color="auto"/>
        <w:right w:val="none" w:sz="0" w:space="0" w:color="auto"/>
      </w:divBdr>
    </w:div>
    <w:div w:id="783039130">
      <w:marLeft w:val="0"/>
      <w:marRight w:val="0"/>
      <w:marTop w:val="0"/>
      <w:marBottom w:val="0"/>
      <w:divBdr>
        <w:top w:val="none" w:sz="0" w:space="0" w:color="auto"/>
        <w:left w:val="none" w:sz="0" w:space="0" w:color="auto"/>
        <w:bottom w:val="none" w:sz="0" w:space="0" w:color="auto"/>
        <w:right w:val="none" w:sz="0" w:space="0" w:color="auto"/>
      </w:divBdr>
    </w:div>
    <w:div w:id="783039131">
      <w:marLeft w:val="0"/>
      <w:marRight w:val="0"/>
      <w:marTop w:val="0"/>
      <w:marBottom w:val="0"/>
      <w:divBdr>
        <w:top w:val="none" w:sz="0" w:space="0" w:color="auto"/>
        <w:left w:val="none" w:sz="0" w:space="0" w:color="auto"/>
        <w:bottom w:val="none" w:sz="0" w:space="0" w:color="auto"/>
        <w:right w:val="none" w:sz="0" w:space="0" w:color="auto"/>
      </w:divBdr>
    </w:div>
    <w:div w:id="783039133">
      <w:marLeft w:val="0"/>
      <w:marRight w:val="0"/>
      <w:marTop w:val="0"/>
      <w:marBottom w:val="0"/>
      <w:divBdr>
        <w:top w:val="none" w:sz="0" w:space="0" w:color="auto"/>
        <w:left w:val="none" w:sz="0" w:space="0" w:color="auto"/>
        <w:bottom w:val="none" w:sz="0" w:space="0" w:color="auto"/>
        <w:right w:val="none" w:sz="0" w:space="0" w:color="auto"/>
      </w:divBdr>
    </w:div>
    <w:div w:id="783039134">
      <w:marLeft w:val="0"/>
      <w:marRight w:val="0"/>
      <w:marTop w:val="0"/>
      <w:marBottom w:val="0"/>
      <w:divBdr>
        <w:top w:val="none" w:sz="0" w:space="0" w:color="auto"/>
        <w:left w:val="none" w:sz="0" w:space="0" w:color="auto"/>
        <w:bottom w:val="none" w:sz="0" w:space="0" w:color="auto"/>
        <w:right w:val="none" w:sz="0" w:space="0" w:color="auto"/>
      </w:divBdr>
    </w:div>
    <w:div w:id="783039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5713DB33E3F7DDA69CD7135843382F491A9B7C29D8FF7D22472D226E196935ED01D32EAEC02437Be8H" TargetMode="External"/><Relationship Id="rId13" Type="http://schemas.openxmlformats.org/officeDocument/2006/relationships/hyperlink" Target="consultantplus://offline/ref=A065713DB33E3F7DDA69CD7135843382F491A9B7C29D8FF7D22472D226E196935ED01D32EAEC09447BeFH" TargetMode="External"/><Relationship Id="rId3" Type="http://schemas.openxmlformats.org/officeDocument/2006/relationships/webSettings" Target="webSettings.xml"/><Relationship Id="rId7" Type="http://schemas.openxmlformats.org/officeDocument/2006/relationships/hyperlink" Target="consultantplus://offline/ref=A065713DB33E3F7DDA69CD7135843382F491A9B7C29D8FF7D22472D226E196935ED01D32EAEC02417Be8H" TargetMode="External"/><Relationship Id="rId12" Type="http://schemas.openxmlformats.org/officeDocument/2006/relationships/hyperlink" Target="consultantplus://offline/ref=A065713DB33E3F7DDA69CD7135843382F491A9B7C29D8FF7D22472D226E196935ED01D32EAEC09447Be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065713DB33E3F7DDA69CD7135843382F491A9B7C29D8FF7D22472D226E196935ED01D32EAEC02477Be9H" TargetMode="External"/><Relationship Id="rId11" Type="http://schemas.openxmlformats.org/officeDocument/2006/relationships/hyperlink" Target="consultantplus://offline/ref=A065713DB33E3F7DDA69CD7135843382F491A9B7C29D8FF7D22472D226E196935ED01D32EAEC09447Be9H" TargetMode="External"/><Relationship Id="rId5" Type="http://schemas.openxmlformats.org/officeDocument/2006/relationships/hyperlink" Target="consultantplus://offline/ref=A065713DB33E3F7DDA69CD7135843382F491A9B7C29D8FF7D22472D226E196935ED01D32EAEE03477BeEH" TargetMode="External"/><Relationship Id="rId15" Type="http://schemas.openxmlformats.org/officeDocument/2006/relationships/hyperlink" Target="consultantplus://offline/ref=A065713DB33E3F7DDA69CD7135843382F491A9B7C29D8FF7D22472D226E196935ED01D31EBEB70e2H" TargetMode="External"/><Relationship Id="rId10" Type="http://schemas.openxmlformats.org/officeDocument/2006/relationships/hyperlink" Target="consultantplus://offline/ref=A065713DB33E3F7DDA69CD7135843382F491A9B7C29D8FF7D22472D226E196935ED01D32EAEC05467BeEH" TargetMode="External"/><Relationship Id="rId4" Type="http://schemas.openxmlformats.org/officeDocument/2006/relationships/hyperlink" Target="consultantplus://offline/ref=E9C025BB03547AF261D0A00D50FA4EC6C9F56BC9BA90AC051F6FC23F5B928DC44CD46D83C5D6B35BSAA0K" TargetMode="External"/><Relationship Id="rId9" Type="http://schemas.openxmlformats.org/officeDocument/2006/relationships/hyperlink" Target="consultantplus://offline/ref=A065713DB33E3F7DDA69CD7135843382F491A9B7C29D8FF7D22472D226E196935ED01D32EAEC05467Be9H" TargetMode="External"/><Relationship Id="rId14" Type="http://schemas.openxmlformats.org/officeDocument/2006/relationships/hyperlink" Target="consultantplus://offline/ref=A065713DB33E3F7DDA69CD7135843382F491A9B7C29D8FF7D22472D226E196935ED01D32EAEE00407Be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11</Pages>
  <Words>3665</Words>
  <Characters>20897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cp:lastModifiedBy>
  <cp:revision>4</cp:revision>
  <dcterms:created xsi:type="dcterms:W3CDTF">2016-12-02T07:06:00Z</dcterms:created>
  <dcterms:modified xsi:type="dcterms:W3CDTF">2016-12-02T09:12:00Z</dcterms:modified>
</cp:coreProperties>
</file>