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F7DFD">
        <w:rPr>
          <w:sz w:val="28"/>
          <w:szCs w:val="28"/>
          <w:u w:val="single"/>
        </w:rPr>
        <w:t>30.12.2022г.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F7DFD">
        <w:rPr>
          <w:sz w:val="28"/>
          <w:szCs w:val="28"/>
        </w:rPr>
        <w:t xml:space="preserve"> 596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93"/>
      </w:tblGrid>
      <w:tr w:rsidR="00BB2CEE" w:rsidTr="00BB2CEE">
        <w:trPr>
          <w:trHeight w:val="1671"/>
        </w:trPr>
        <w:tc>
          <w:tcPr>
            <w:tcW w:w="4678" w:type="dxa"/>
            <w:hideMark/>
          </w:tcPr>
          <w:p w:rsidR="00BB2CEE" w:rsidRDefault="00BB2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Порядок организации питания учащихся муниципальных общеобразовательных учреждений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на 2022/23 учебный год</w:t>
            </w:r>
          </w:p>
        </w:tc>
        <w:tc>
          <w:tcPr>
            <w:tcW w:w="4893" w:type="dxa"/>
          </w:tcPr>
          <w:p w:rsidR="00BB2CEE" w:rsidRDefault="00BB2CEE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B2CEE" w:rsidRDefault="00BB2CEE" w:rsidP="00BB2CEE">
      <w:pPr>
        <w:ind w:firstLine="709"/>
        <w:jc w:val="both"/>
        <w:rPr>
          <w:sz w:val="28"/>
          <w:szCs w:val="28"/>
        </w:rPr>
      </w:pPr>
    </w:p>
    <w:p w:rsidR="00BB2CEE" w:rsidRDefault="00BB2CEE" w:rsidP="00BB2CEE">
      <w:pPr>
        <w:ind w:firstLine="709"/>
        <w:jc w:val="both"/>
        <w:rPr>
          <w:sz w:val="28"/>
          <w:szCs w:val="28"/>
        </w:rPr>
      </w:pPr>
    </w:p>
    <w:p w:rsidR="00BB2CEE" w:rsidRDefault="00BB2CEE" w:rsidP="00BB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29.12.2012г.  № 273-ФЗ «Об образовании в Российской Федерации», постановлением Администрации Смоленской области от 23.08.2022 № 583 «О дополнительной мере социальной поддержки учащихся 5 - 11-х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2022/23 учебный год и 2023/24 учебный  год» (в редакции от 03.10.2022 № 708, от 01.12.2022г. № 886)</w:t>
      </w:r>
    </w:p>
    <w:p w:rsidR="00BB2CEE" w:rsidRDefault="00BB2CEE" w:rsidP="00BB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BB2CEE" w:rsidRPr="00BB2CEE" w:rsidRDefault="00BB2CEE" w:rsidP="00BB2C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2CEE" w:rsidRDefault="00BB2CEE" w:rsidP="00BB2C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Е Т:</w:t>
      </w:r>
    </w:p>
    <w:p w:rsidR="00BB2CEE" w:rsidRDefault="00BB2CEE" w:rsidP="00BB2C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2CEE" w:rsidRDefault="00BB2CEE" w:rsidP="00BB2C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организации питания учащихся муниципальных общеобразовательных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на 2022/23 учебный год,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29.08.2022г. № 394, следующие изменения:</w:t>
      </w:r>
    </w:p>
    <w:p w:rsidR="00BB2CEE" w:rsidRDefault="00BB2CEE" w:rsidP="00BB2CE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bCs/>
          <w:sz w:val="28"/>
          <w:szCs w:val="28"/>
        </w:rPr>
        <w:t xml:space="preserve">2 пункт 2.3.2. дополнить пунктами 2.3.2.1., 2.3.2.2. следующего содержания: </w:t>
      </w:r>
    </w:p>
    <w:p w:rsidR="00BB2CEE" w:rsidRDefault="00BB2CEE" w:rsidP="00BB2C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«2.3.2.1. Для учащихся  5–11-х классов из семей граждан Украины, Донецкой Народной Республики, Луганской Народной Республики и лиц без </w:t>
      </w:r>
      <w:r>
        <w:rPr>
          <w:sz w:val="28"/>
          <w:szCs w:val="28"/>
        </w:rPr>
        <w:lastRenderedPageBreak/>
        <w:t>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Смоленской области, горячее питание (завтрак) финансируется за счет средств бюджета Смоленской области в соответствии с Порядком предоставления в 2022/23 учебном году и 2023/24 учебном году дополнительной меры социальной поддержки учащихся 5–11-х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поддержки, утвержденным постановлением Администрации Смоленской области от 23.08.2022 года № 585 (далее – Порядок).</w:t>
      </w:r>
    </w:p>
    <w:p w:rsidR="00BB2CEE" w:rsidRDefault="00BB2CEE" w:rsidP="00BB2C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Для учащихся 5–11-х классов из семей граждан Российской Федерации, призванных на военную службу по мобилизации, горячее питание (завтрак) финансируется за счет средств бюджета Смоленской области в соответствии с вышеуказанным Порядком.».</w:t>
      </w:r>
    </w:p>
    <w:p w:rsidR="00BB2CEE" w:rsidRDefault="00BB2CEE" w:rsidP="00BB2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2.3.2.1. вступает в силу со дня подписания настоящего постановления и распространяет свое действия на правоотношения, возникшие с 1 сентября 2022 года.</w:t>
      </w:r>
    </w:p>
    <w:p w:rsidR="00BB2CEE" w:rsidRDefault="00BB2CEE" w:rsidP="00BB2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2.3.2.2. вступает в силу со дня подписания настоящего постановления и распространяет свое действия на правоотношения, возникшие с 19 октября 2022 года.</w:t>
      </w:r>
    </w:p>
    <w:p w:rsidR="00BB2CEE" w:rsidRDefault="00BB2CEE" w:rsidP="00BB2CEE">
      <w:pPr>
        <w:autoSpaceDE w:val="0"/>
        <w:autoSpaceDN w:val="0"/>
        <w:adjustRightInd w:val="0"/>
        <w:spacing w:after="120"/>
        <w:ind w:firstLine="708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начальника Отдела по образованию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(И.Г. Кулешова).</w:t>
      </w:r>
    </w:p>
    <w:p w:rsidR="00BB2CEE" w:rsidRDefault="00BB2CEE" w:rsidP="00BB2CEE">
      <w:pPr>
        <w:outlineLvl w:val="2"/>
        <w:rPr>
          <w:sz w:val="28"/>
          <w:szCs w:val="28"/>
        </w:rPr>
      </w:pPr>
    </w:p>
    <w:p w:rsidR="00BB2CEE" w:rsidRDefault="00BB2CEE" w:rsidP="00BB2CEE">
      <w:pPr>
        <w:outlineLvl w:val="2"/>
        <w:rPr>
          <w:sz w:val="28"/>
          <w:szCs w:val="28"/>
        </w:rPr>
      </w:pPr>
    </w:p>
    <w:p w:rsidR="00BB2CEE" w:rsidRDefault="00BB2CEE" w:rsidP="00BB2CEE">
      <w:pPr>
        <w:outlineLvl w:val="2"/>
        <w:rPr>
          <w:sz w:val="28"/>
          <w:szCs w:val="28"/>
        </w:rPr>
      </w:pPr>
    </w:p>
    <w:p w:rsidR="00BB2CEE" w:rsidRDefault="00BB2CEE" w:rsidP="00BB2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B2CEE" w:rsidRDefault="00BB2CEE" w:rsidP="00BB2CE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0" w:name="_GoBack"/>
      <w:bookmarkEnd w:id="0"/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1E" w:rsidRDefault="00A1511E">
      <w:r>
        <w:separator/>
      </w:r>
    </w:p>
  </w:endnote>
  <w:endnote w:type="continuationSeparator" w:id="0">
    <w:p w:rsidR="00A1511E" w:rsidRDefault="00A1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1E" w:rsidRDefault="00A1511E">
      <w:r>
        <w:separator/>
      </w:r>
    </w:p>
  </w:footnote>
  <w:footnote w:type="continuationSeparator" w:id="0">
    <w:p w:rsidR="00A1511E" w:rsidRDefault="00A1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1F7DFD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D2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511E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2CEE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E5D65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959AC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0D2C-E1E7-48DC-B1ED-31F9B6A2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2022-06-01T14:13:00Z</cp:lastPrinted>
  <dcterms:created xsi:type="dcterms:W3CDTF">2023-01-12T06:24:00Z</dcterms:created>
  <dcterms:modified xsi:type="dcterms:W3CDTF">2023-01-12T06:24:00Z</dcterms:modified>
</cp:coreProperties>
</file>