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1E4D52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8F451C">
        <w:rPr>
          <w:rFonts w:eastAsia="Calibri"/>
          <w:sz w:val="28"/>
          <w:szCs w:val="28"/>
        </w:rPr>
        <w:t>63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8F451C">
        <w:rPr>
          <w:rFonts w:eastAsia="Calibri"/>
          <w:sz w:val="28"/>
          <w:szCs w:val="28"/>
        </w:rPr>
        <w:t>Кирпичный завод</w:t>
      </w:r>
      <w:r w:rsidR="00863FCB">
        <w:rPr>
          <w:rFonts w:eastAsia="Calibri"/>
          <w:sz w:val="28"/>
          <w:szCs w:val="28"/>
        </w:rPr>
        <w:t xml:space="preserve">, д. </w:t>
      </w:r>
      <w:r w:rsidR="008F451C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F451C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8F451C">
        <w:rPr>
          <w:rFonts w:eastAsia="Calibri"/>
          <w:sz w:val="28"/>
          <w:szCs w:val="28"/>
        </w:rPr>
        <w:t>Петрухина Анна Николаевна</w:t>
      </w:r>
      <w:r w:rsidR="001E4D52">
        <w:rPr>
          <w:rFonts w:eastAsia="Calibri"/>
          <w:sz w:val="28"/>
          <w:szCs w:val="28"/>
        </w:rPr>
        <w:t xml:space="preserve"> 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1E4D52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</w:t>
      </w:r>
      <w:r w:rsidR="001E4D52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1E4D52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1E4D52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1E4D52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1E4D52">
        <w:rPr>
          <w:rFonts w:eastAsia="Calibri"/>
          <w:sz w:val="28"/>
          <w:szCs w:val="28"/>
        </w:rPr>
        <w:t>……..</w:t>
      </w:r>
      <w:r w:rsidR="009113EE">
        <w:rPr>
          <w:rFonts w:eastAsia="Calibri"/>
          <w:sz w:val="28"/>
          <w:szCs w:val="28"/>
        </w:rPr>
        <w:t>, что подтверждается</w:t>
      </w:r>
      <w:r w:rsidR="001E4D52">
        <w:rPr>
          <w:rFonts w:eastAsia="Calibri"/>
          <w:sz w:val="28"/>
          <w:szCs w:val="28"/>
        </w:rPr>
        <w:t xml:space="preserve"> …….</w:t>
      </w:r>
      <w:bookmarkStart w:id="0" w:name="_GoBack"/>
      <w:bookmarkEnd w:id="0"/>
      <w:r w:rsidR="009113E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E0" w:rsidRDefault="00DA16E0">
      <w:r>
        <w:separator/>
      </w:r>
    </w:p>
  </w:endnote>
  <w:endnote w:type="continuationSeparator" w:id="0">
    <w:p w:rsidR="00DA16E0" w:rsidRDefault="00DA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E0" w:rsidRDefault="00DA16E0">
      <w:r>
        <w:separator/>
      </w:r>
    </w:p>
  </w:footnote>
  <w:footnote w:type="continuationSeparator" w:id="0">
    <w:p w:rsidR="00DA16E0" w:rsidRDefault="00DA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113EE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E4D52"/>
    <w:rsid w:val="001F3BFA"/>
    <w:rsid w:val="002E7D13"/>
    <w:rsid w:val="003506E2"/>
    <w:rsid w:val="003D6CB4"/>
    <w:rsid w:val="00424E2B"/>
    <w:rsid w:val="00497CC3"/>
    <w:rsid w:val="005111EC"/>
    <w:rsid w:val="00632E1F"/>
    <w:rsid w:val="00652F5E"/>
    <w:rsid w:val="006F24E2"/>
    <w:rsid w:val="00700687"/>
    <w:rsid w:val="00863FCB"/>
    <w:rsid w:val="008F451C"/>
    <w:rsid w:val="009113EE"/>
    <w:rsid w:val="009C0F4D"/>
    <w:rsid w:val="009E6AA2"/>
    <w:rsid w:val="009F40B4"/>
    <w:rsid w:val="00A66B30"/>
    <w:rsid w:val="00B5324E"/>
    <w:rsid w:val="00CA11A9"/>
    <w:rsid w:val="00D7632B"/>
    <w:rsid w:val="00D83F6B"/>
    <w:rsid w:val="00DA16E0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A0D72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848C65-D5CF-410B-975E-0542A43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18</cp:revision>
  <cp:lastPrinted>2021-10-11T14:11:00Z</cp:lastPrinted>
  <dcterms:created xsi:type="dcterms:W3CDTF">2021-10-07T07:15:00Z</dcterms:created>
  <dcterms:modified xsi:type="dcterms:W3CDTF">2021-10-21T14:32:00Z</dcterms:modified>
</cp:coreProperties>
</file>